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94" w:rsidRPr="00682B94" w:rsidRDefault="00646BAD" w:rsidP="00341C8E">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Substance Abuse </w:t>
      </w:r>
      <w:r w:rsidR="00F90B83" w:rsidRPr="00646BAD">
        <w:rPr>
          <w:rFonts w:ascii="Times New Roman" w:hAnsi="Times New Roman" w:cs="Times New Roman"/>
          <w:b/>
          <w:sz w:val="28"/>
          <w:szCs w:val="28"/>
        </w:rPr>
        <w:t>Prevention in Rhode Island</w:t>
      </w:r>
      <w:r w:rsidR="005C5CCD">
        <w:rPr>
          <w:rFonts w:ascii="Times New Roman" w:hAnsi="Times New Roman" w:cs="Times New Roman"/>
          <w:b/>
          <w:sz w:val="28"/>
          <w:szCs w:val="28"/>
        </w:rPr>
        <w:t xml:space="preserve">: </w:t>
      </w:r>
      <w:r w:rsidR="005C5CCD" w:rsidRPr="00682B94">
        <w:rPr>
          <w:rFonts w:ascii="Times New Roman" w:hAnsi="Times New Roman" w:cs="Times New Roman"/>
          <w:b/>
          <w:sz w:val="28"/>
          <w:szCs w:val="28"/>
        </w:rPr>
        <w:t xml:space="preserve">Making the Case </w:t>
      </w:r>
    </w:p>
    <w:p w:rsidR="00341C8E" w:rsidRPr="00341C8E" w:rsidRDefault="00341C8E" w:rsidP="00341C8E">
      <w:pPr>
        <w:spacing w:line="240" w:lineRule="auto"/>
        <w:rPr>
          <w:rFonts w:ascii="Times New Roman" w:hAnsi="Times New Roman" w:cs="Times New Roman"/>
          <w:b/>
          <w:sz w:val="24"/>
          <w:szCs w:val="24"/>
        </w:rPr>
      </w:pPr>
    </w:p>
    <w:p w:rsidR="00272E88" w:rsidRPr="00077297" w:rsidRDefault="00272E88" w:rsidP="00272E88">
      <w:pPr>
        <w:shd w:val="clear" w:color="auto" w:fill="FFFFFF"/>
        <w:spacing w:after="225" w:line="336" w:lineRule="atLeast"/>
        <w:textAlignment w:val="baseline"/>
        <w:outlineLvl w:val="1"/>
        <w:rPr>
          <w:rFonts w:ascii="Times New Roman" w:eastAsia="Times New Roman" w:hAnsi="Times New Roman" w:cs="Times New Roman"/>
          <w:b/>
          <w:sz w:val="24"/>
          <w:szCs w:val="24"/>
        </w:rPr>
      </w:pPr>
      <w:r w:rsidRPr="00077297">
        <w:rPr>
          <w:rFonts w:ascii="Times New Roman" w:eastAsia="Times New Roman" w:hAnsi="Times New Roman" w:cs="Times New Roman"/>
          <w:b/>
          <w:sz w:val="24"/>
          <w:szCs w:val="24"/>
        </w:rPr>
        <w:t>Understanding the Problem</w:t>
      </w:r>
    </w:p>
    <w:p w:rsidR="00077297" w:rsidRDefault="00F83D04" w:rsidP="005C5CCD">
      <w:pPr>
        <w:shd w:val="clear" w:color="auto" w:fill="FFFFFF"/>
        <w:spacing w:after="528"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Studies have shown that the annual cost of substance use disorders are nationally </w:t>
      </w:r>
      <w:r w:rsidR="00BA17F7">
        <w:rPr>
          <w:rFonts w:ascii="Times New Roman" w:eastAsia="Times New Roman" w:hAnsi="Times New Roman" w:cs="Times New Roman"/>
          <w:color w:val="444444"/>
          <w:sz w:val="24"/>
          <w:szCs w:val="24"/>
        </w:rPr>
        <w:t xml:space="preserve">to be $510.8 billion in </w:t>
      </w:r>
      <w:r w:rsidR="00423F1A" w:rsidRPr="00423F1A">
        <w:rPr>
          <w:rFonts w:ascii="Times New Roman" w:eastAsia="Times New Roman" w:hAnsi="Times New Roman" w:cs="Times New Roman"/>
          <w:color w:val="444444"/>
          <w:sz w:val="24"/>
          <w:szCs w:val="24"/>
        </w:rPr>
        <w:t>1999 (Harw</w:t>
      </w:r>
      <w:r w:rsidR="00423F1A">
        <w:rPr>
          <w:rFonts w:ascii="Times New Roman" w:eastAsia="Times New Roman" w:hAnsi="Times New Roman" w:cs="Times New Roman"/>
          <w:color w:val="444444"/>
          <w:sz w:val="24"/>
          <w:szCs w:val="24"/>
        </w:rPr>
        <w:t xml:space="preserve">ood, 2000). More specifically, </w:t>
      </w:r>
      <w:r w:rsidR="00423F1A" w:rsidRPr="00423F1A">
        <w:rPr>
          <w:rFonts w:ascii="Times New Roman" w:eastAsia="Times New Roman" w:hAnsi="Times New Roman" w:cs="Times New Roman"/>
          <w:color w:val="444444"/>
          <w:sz w:val="24"/>
          <w:szCs w:val="24"/>
        </w:rPr>
        <w:t>Alcohol abuse c</w:t>
      </w:r>
      <w:r w:rsidR="00577725">
        <w:rPr>
          <w:rFonts w:ascii="Times New Roman" w:eastAsia="Times New Roman" w:hAnsi="Times New Roman" w:cs="Times New Roman"/>
          <w:color w:val="444444"/>
          <w:sz w:val="24"/>
          <w:szCs w:val="24"/>
        </w:rPr>
        <w:t>ost the n</w:t>
      </w:r>
      <w:r w:rsidR="00423F1A">
        <w:rPr>
          <w:rFonts w:ascii="Times New Roman" w:eastAsia="Times New Roman" w:hAnsi="Times New Roman" w:cs="Times New Roman"/>
          <w:color w:val="444444"/>
          <w:sz w:val="24"/>
          <w:szCs w:val="24"/>
        </w:rPr>
        <w:t xml:space="preserve">ation $191.6 billion. </w:t>
      </w:r>
      <w:r w:rsidR="00423F1A" w:rsidRPr="00423F1A">
        <w:rPr>
          <w:rFonts w:ascii="Times New Roman" w:eastAsia="Times New Roman" w:hAnsi="Times New Roman" w:cs="Times New Roman"/>
          <w:color w:val="444444"/>
          <w:sz w:val="24"/>
          <w:szCs w:val="24"/>
        </w:rPr>
        <w:t>Tobacco use c</w:t>
      </w:r>
      <w:r w:rsidR="00577725">
        <w:rPr>
          <w:rFonts w:ascii="Times New Roman" w:eastAsia="Times New Roman" w:hAnsi="Times New Roman" w:cs="Times New Roman"/>
          <w:color w:val="444444"/>
          <w:sz w:val="24"/>
          <w:szCs w:val="24"/>
        </w:rPr>
        <w:t>ost the n</w:t>
      </w:r>
      <w:r w:rsidR="00423F1A">
        <w:rPr>
          <w:rFonts w:ascii="Times New Roman" w:eastAsia="Times New Roman" w:hAnsi="Times New Roman" w:cs="Times New Roman"/>
          <w:color w:val="444444"/>
          <w:sz w:val="24"/>
          <w:szCs w:val="24"/>
        </w:rPr>
        <w:t xml:space="preserve">ation $167.8 billion. </w:t>
      </w:r>
      <w:r w:rsidR="00423F1A" w:rsidRPr="00423F1A">
        <w:rPr>
          <w:rFonts w:ascii="Times New Roman" w:eastAsia="Times New Roman" w:hAnsi="Times New Roman" w:cs="Times New Roman"/>
          <w:color w:val="444444"/>
          <w:sz w:val="24"/>
          <w:szCs w:val="24"/>
        </w:rPr>
        <w:t>Drug abuse c</w:t>
      </w:r>
      <w:r w:rsidR="00577725">
        <w:rPr>
          <w:rFonts w:ascii="Times New Roman" w:eastAsia="Times New Roman" w:hAnsi="Times New Roman" w:cs="Times New Roman"/>
          <w:color w:val="444444"/>
          <w:sz w:val="24"/>
          <w:szCs w:val="24"/>
        </w:rPr>
        <w:t>ost the n</w:t>
      </w:r>
      <w:r w:rsidR="00423F1A">
        <w:rPr>
          <w:rFonts w:ascii="Times New Roman" w:eastAsia="Times New Roman" w:hAnsi="Times New Roman" w:cs="Times New Roman"/>
          <w:color w:val="444444"/>
          <w:sz w:val="24"/>
          <w:szCs w:val="24"/>
        </w:rPr>
        <w:t xml:space="preserve">ation $151.4 billion. </w:t>
      </w:r>
      <w:r w:rsidR="00423F1A" w:rsidRPr="00423F1A">
        <w:rPr>
          <w:rFonts w:ascii="Times New Roman" w:eastAsia="Times New Roman" w:hAnsi="Times New Roman" w:cs="Times New Roman"/>
          <w:color w:val="444444"/>
          <w:sz w:val="24"/>
          <w:szCs w:val="24"/>
        </w:rPr>
        <w:t xml:space="preserve">Substance abuse clearly is among the most costly health </w:t>
      </w:r>
      <w:r w:rsidR="00423F1A">
        <w:rPr>
          <w:rFonts w:ascii="Times New Roman" w:eastAsia="Times New Roman" w:hAnsi="Times New Roman" w:cs="Times New Roman"/>
          <w:color w:val="444444"/>
          <w:sz w:val="24"/>
          <w:szCs w:val="24"/>
        </w:rPr>
        <w:t xml:space="preserve">problems in the United States. </w:t>
      </w:r>
      <w:r w:rsidR="00423F1A" w:rsidRPr="00423F1A">
        <w:rPr>
          <w:rFonts w:ascii="Times New Roman" w:eastAsia="Times New Roman" w:hAnsi="Times New Roman" w:cs="Times New Roman"/>
          <w:color w:val="444444"/>
          <w:sz w:val="24"/>
          <w:szCs w:val="24"/>
        </w:rPr>
        <w:t>Among national estimates of the costs of illness for 33 diseases and conditions</w:t>
      </w:r>
      <w:r w:rsidR="00423F1A">
        <w:rPr>
          <w:rFonts w:ascii="Times New Roman" w:eastAsia="Times New Roman" w:hAnsi="Times New Roman" w:cs="Times New Roman"/>
          <w:color w:val="444444"/>
          <w:sz w:val="24"/>
          <w:szCs w:val="24"/>
        </w:rPr>
        <w:t xml:space="preserve">, alcohol </w:t>
      </w:r>
      <w:r w:rsidR="00423F1A" w:rsidRPr="00423F1A">
        <w:rPr>
          <w:rFonts w:ascii="Times New Roman" w:eastAsia="Times New Roman" w:hAnsi="Times New Roman" w:cs="Times New Roman"/>
          <w:color w:val="444444"/>
          <w:sz w:val="24"/>
          <w:szCs w:val="24"/>
        </w:rPr>
        <w:t>ranked second, tobacco ranked sixth, and drug disorders ranke</w:t>
      </w:r>
      <w:r w:rsidR="00423F1A">
        <w:rPr>
          <w:rFonts w:ascii="Times New Roman" w:eastAsia="Times New Roman" w:hAnsi="Times New Roman" w:cs="Times New Roman"/>
          <w:color w:val="444444"/>
          <w:sz w:val="24"/>
          <w:szCs w:val="24"/>
        </w:rPr>
        <w:t xml:space="preserve">d seventh (National Institutes </w:t>
      </w:r>
      <w:r w:rsidR="00423F1A" w:rsidRPr="00423F1A">
        <w:rPr>
          <w:rFonts w:ascii="Times New Roman" w:eastAsia="Times New Roman" w:hAnsi="Times New Roman" w:cs="Times New Roman"/>
          <w:color w:val="444444"/>
          <w:sz w:val="24"/>
          <w:szCs w:val="24"/>
        </w:rPr>
        <w:t>of Health [NIH]</w:t>
      </w:r>
      <w:r w:rsidR="00423F1A">
        <w:rPr>
          <w:rFonts w:ascii="Times New Roman" w:eastAsia="Times New Roman" w:hAnsi="Times New Roman" w:cs="Times New Roman"/>
          <w:color w:val="444444"/>
          <w:sz w:val="24"/>
          <w:szCs w:val="24"/>
        </w:rPr>
        <w:t>, 2000). P</w:t>
      </w:r>
      <w:r w:rsidR="00423F1A" w:rsidRPr="00423F1A">
        <w:rPr>
          <w:rFonts w:ascii="Times New Roman" w:eastAsia="Times New Roman" w:hAnsi="Times New Roman" w:cs="Times New Roman"/>
          <w:color w:val="444444"/>
          <w:sz w:val="24"/>
          <w:szCs w:val="24"/>
        </w:rPr>
        <w:t>rograms desig</w:t>
      </w:r>
      <w:r w:rsidR="00CB1EFC">
        <w:rPr>
          <w:rFonts w:ascii="Times New Roman" w:eastAsia="Times New Roman" w:hAnsi="Times New Roman" w:cs="Times New Roman"/>
          <w:color w:val="444444"/>
          <w:sz w:val="24"/>
          <w:szCs w:val="24"/>
        </w:rPr>
        <w:t xml:space="preserve">ned to </w:t>
      </w:r>
      <w:r w:rsidR="00CB1EFC" w:rsidRPr="00334196">
        <w:rPr>
          <w:rFonts w:ascii="Times New Roman" w:eastAsia="Times New Roman" w:hAnsi="Times New Roman" w:cs="Times New Roman"/>
          <w:color w:val="444444"/>
          <w:sz w:val="24"/>
          <w:szCs w:val="24"/>
        </w:rPr>
        <w:t xml:space="preserve">prevent </w:t>
      </w:r>
      <w:r w:rsidR="00334196">
        <w:rPr>
          <w:rFonts w:ascii="Times New Roman" w:eastAsia="Times New Roman" w:hAnsi="Times New Roman" w:cs="Times New Roman"/>
          <w:color w:val="444444"/>
          <w:sz w:val="24"/>
          <w:szCs w:val="24"/>
        </w:rPr>
        <w:t xml:space="preserve">substance use disorders </w:t>
      </w:r>
      <w:r w:rsidR="00423F1A">
        <w:rPr>
          <w:rFonts w:ascii="Times New Roman" w:eastAsia="Times New Roman" w:hAnsi="Times New Roman" w:cs="Times New Roman"/>
          <w:color w:val="444444"/>
          <w:sz w:val="24"/>
          <w:szCs w:val="24"/>
        </w:rPr>
        <w:t>can reduce these costs.</w:t>
      </w:r>
    </w:p>
    <w:p w:rsidR="005C5CCD" w:rsidRPr="00077297" w:rsidRDefault="00F83D04" w:rsidP="005C5CCD">
      <w:pPr>
        <w:shd w:val="clear" w:color="auto" w:fill="FFFFFF"/>
        <w:spacing w:after="528" w:line="240" w:lineRule="auto"/>
        <w:textAlignment w:val="baseline"/>
        <w:rPr>
          <w:rFonts w:ascii="Times New Roman" w:eastAsia="Times New Roman" w:hAnsi="Times New Roman" w:cs="Times New Roman"/>
          <w:color w:val="444444"/>
          <w:sz w:val="24"/>
          <w:szCs w:val="24"/>
        </w:rPr>
      </w:pPr>
      <w:r w:rsidRPr="00077297">
        <w:rPr>
          <w:rFonts w:ascii="Times New Roman" w:eastAsia="Times New Roman" w:hAnsi="Times New Roman" w:cs="Times New Roman"/>
          <w:b/>
          <w:bCs/>
          <w:color w:val="444444"/>
          <w:sz w:val="24"/>
          <w:szCs w:val="24"/>
        </w:rPr>
        <w:t xml:space="preserve">Prevention Yields Huge Savings </w:t>
      </w:r>
    </w:p>
    <w:p w:rsidR="00CB1EFC" w:rsidRPr="00682B94" w:rsidRDefault="005605B9" w:rsidP="00682B94">
      <w:pPr>
        <w:shd w:val="clear" w:color="auto" w:fill="FFFFFF"/>
        <w:spacing w:after="528" w:line="240" w:lineRule="auto"/>
        <w:textAlignment w:val="baseline"/>
        <w:rPr>
          <w:rFonts w:ascii="Times New Roman" w:eastAsia="Times New Roman" w:hAnsi="Times New Roman" w:cs="Times New Roman"/>
          <w:bCs/>
          <w:color w:val="444444"/>
          <w:sz w:val="24"/>
          <w:szCs w:val="24"/>
        </w:rPr>
      </w:pPr>
      <w:r w:rsidRPr="00F83D04">
        <w:rPr>
          <w:rFonts w:ascii="Times New Roman" w:eastAsia="Times New Roman" w:hAnsi="Times New Roman" w:cs="Times New Roman"/>
          <w:color w:val="444444"/>
          <w:sz w:val="24"/>
          <w:szCs w:val="24"/>
        </w:rPr>
        <w:t xml:space="preserve">Effective substance abuse prevention can yield major economic dividends. </w:t>
      </w:r>
      <w:r w:rsidR="00682B94">
        <w:rPr>
          <w:rFonts w:ascii="Times New Roman" w:eastAsia="Times New Roman" w:hAnsi="Times New Roman" w:cs="Times New Roman"/>
          <w:color w:val="444444"/>
          <w:sz w:val="24"/>
          <w:szCs w:val="24"/>
        </w:rPr>
        <w:t xml:space="preserve">In 2003, an estimated </w:t>
      </w:r>
      <w:r w:rsidR="00682B94" w:rsidRPr="00F83D04">
        <w:rPr>
          <w:rFonts w:ascii="Times New Roman" w:eastAsia="Times New Roman" w:hAnsi="Times New Roman" w:cs="Times New Roman"/>
          <w:bCs/>
          <w:color w:val="444444"/>
          <w:sz w:val="24"/>
          <w:szCs w:val="24"/>
        </w:rPr>
        <w:t>dolla</w:t>
      </w:r>
      <w:r w:rsidR="00682B94">
        <w:rPr>
          <w:rFonts w:ascii="Times New Roman" w:eastAsia="Times New Roman" w:hAnsi="Times New Roman" w:cs="Times New Roman"/>
          <w:bCs/>
          <w:color w:val="444444"/>
          <w:sz w:val="24"/>
          <w:szCs w:val="24"/>
        </w:rPr>
        <w:t>r invested in prevention can save between $2.00 to $20.00 dollars</w:t>
      </w:r>
      <w:r w:rsidR="00682B94" w:rsidRPr="00F83D04">
        <w:rPr>
          <w:rFonts w:ascii="Times New Roman" w:eastAsia="Times New Roman" w:hAnsi="Times New Roman" w:cs="Times New Roman"/>
          <w:bCs/>
          <w:color w:val="444444"/>
          <w:sz w:val="24"/>
          <w:szCs w:val="24"/>
        </w:rPr>
        <w:t>.</w:t>
      </w:r>
      <w:r w:rsidR="00682B94">
        <w:rPr>
          <w:rFonts w:ascii="Times New Roman" w:eastAsia="Times New Roman" w:hAnsi="Times New Roman" w:cs="Times New Roman"/>
          <w:bCs/>
          <w:color w:val="444444"/>
          <w:sz w:val="24"/>
          <w:szCs w:val="24"/>
        </w:rPr>
        <w:t xml:space="preserve"> (Grant &amp; Dawson, </w:t>
      </w:r>
      <w:r w:rsidR="00682B94" w:rsidRPr="00682B94">
        <w:rPr>
          <w:rFonts w:ascii="Times New Roman" w:eastAsia="Times New Roman" w:hAnsi="Times New Roman" w:cs="Times New Roman"/>
          <w:bCs/>
          <w:color w:val="444444"/>
          <w:sz w:val="24"/>
          <w:szCs w:val="24"/>
        </w:rPr>
        <w:t>1997; Lynskey et al., 2003).</w:t>
      </w:r>
      <w:r w:rsidR="00CB1EFC" w:rsidRPr="00CB1EFC">
        <w:rPr>
          <w:rFonts w:ascii="Times New Roman" w:eastAsia="Times New Roman" w:hAnsi="Times New Roman" w:cs="Times New Roman"/>
          <w:bCs/>
          <w:color w:val="FF0000"/>
          <w:sz w:val="24"/>
          <w:szCs w:val="24"/>
        </w:rPr>
        <w:t xml:space="preserve"> </w:t>
      </w:r>
      <w:r w:rsidR="00F83D04" w:rsidRPr="00CB1EFC">
        <w:rPr>
          <w:rFonts w:ascii="Times New Roman" w:eastAsia="Times New Roman" w:hAnsi="Times New Roman" w:cs="Times New Roman"/>
          <w:bCs/>
          <w:color w:val="FF0000"/>
          <w:sz w:val="24"/>
          <w:szCs w:val="24"/>
        </w:rPr>
        <w:t xml:space="preserve"> </w:t>
      </w:r>
      <w:r w:rsidRPr="00F83D04">
        <w:rPr>
          <w:rFonts w:ascii="Times New Roman" w:eastAsia="Times New Roman" w:hAnsi="Times New Roman" w:cs="Times New Roman"/>
          <w:bCs/>
          <w:color w:val="444444"/>
          <w:sz w:val="24"/>
          <w:szCs w:val="24"/>
        </w:rPr>
        <w:t xml:space="preserve">Research demonstrates that illegal drug use among youth declines as the perception of risk and social disapproval increases. </w:t>
      </w:r>
      <w:r w:rsidR="00F83D04">
        <w:rPr>
          <w:rFonts w:ascii="Times New Roman" w:eastAsia="Times New Roman" w:hAnsi="Times New Roman" w:cs="Times New Roman"/>
          <w:bCs/>
          <w:color w:val="444444"/>
          <w:sz w:val="24"/>
          <w:szCs w:val="24"/>
        </w:rPr>
        <w:t xml:space="preserve">Effective substance abuse prevention involves: </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Reducing the availabilit</w:t>
      </w:r>
      <w:r w:rsidR="00F83D04" w:rsidRPr="00F81457">
        <w:rPr>
          <w:bCs/>
          <w:color w:val="444444"/>
        </w:rPr>
        <w:t xml:space="preserve">y of alcohol, tobacco and </w:t>
      </w:r>
      <w:r w:rsidR="00CB1EFC" w:rsidRPr="00F81457">
        <w:rPr>
          <w:bCs/>
          <w:color w:val="444444"/>
        </w:rPr>
        <w:t xml:space="preserve">other </w:t>
      </w:r>
      <w:r w:rsidR="00F83D04" w:rsidRPr="00F81457">
        <w:rPr>
          <w:bCs/>
          <w:color w:val="444444"/>
        </w:rPr>
        <w:t>drugs</w:t>
      </w:r>
      <w:r w:rsidR="00CB1EFC" w:rsidRPr="00F81457">
        <w:rPr>
          <w:bCs/>
          <w:color w:val="444444"/>
        </w:rPr>
        <w:t xml:space="preserve"> (ATOD)</w:t>
      </w:r>
      <w:r w:rsidR="00F83D04" w:rsidRPr="00F81457">
        <w:rPr>
          <w:bCs/>
          <w:color w:val="444444"/>
        </w:rPr>
        <w:t xml:space="preserve">; </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Reducing</w:t>
      </w:r>
      <w:r w:rsidR="00CB1EFC" w:rsidRPr="00F81457">
        <w:rPr>
          <w:bCs/>
          <w:color w:val="444444"/>
        </w:rPr>
        <w:t xml:space="preserve"> access to ATOD</w:t>
      </w:r>
      <w:r w:rsidRPr="00F81457">
        <w:rPr>
          <w:bCs/>
          <w:color w:val="444444"/>
        </w:rPr>
        <w:t>;</w:t>
      </w:r>
      <w:r w:rsidR="00F83D04" w:rsidRPr="00F81457">
        <w:rPr>
          <w:bCs/>
          <w:color w:val="444444"/>
        </w:rPr>
        <w:t xml:space="preserve"> </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 xml:space="preserve">Enforcing consequences for alcohol and </w:t>
      </w:r>
      <w:r w:rsidR="00CB1EFC" w:rsidRPr="00F81457">
        <w:rPr>
          <w:bCs/>
          <w:color w:val="444444"/>
        </w:rPr>
        <w:t xml:space="preserve">other </w:t>
      </w:r>
      <w:r w:rsidRPr="00F81457">
        <w:rPr>
          <w:bCs/>
          <w:color w:val="444444"/>
        </w:rPr>
        <w:t>drug related offenses; </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Changing attitudes and perceptions about the dangers and acceptabilit</w:t>
      </w:r>
      <w:r w:rsidR="00CB1EFC" w:rsidRPr="00F81457">
        <w:rPr>
          <w:bCs/>
          <w:color w:val="444444"/>
        </w:rPr>
        <w:t>y of ATOD use</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Changing social norms</w:t>
      </w:r>
      <w:r w:rsidR="00CB1EFC" w:rsidRPr="00F81457">
        <w:rPr>
          <w:bCs/>
          <w:color w:val="444444"/>
        </w:rPr>
        <w:t xml:space="preserve"> (</w:t>
      </w:r>
      <w:r w:rsidR="00F81457">
        <w:rPr>
          <w:bCs/>
          <w:color w:val="444444"/>
        </w:rPr>
        <w:t xml:space="preserve">i.e., </w:t>
      </w:r>
      <w:r w:rsidR="00CB1EFC" w:rsidRPr="00F81457">
        <w:rPr>
          <w:bCs/>
          <w:color w:val="444444"/>
        </w:rPr>
        <w:t>community perceptions regarding risk and harm)</w:t>
      </w:r>
      <w:r w:rsidRPr="00F81457">
        <w:rPr>
          <w:bCs/>
          <w:color w:val="444444"/>
        </w:rPr>
        <w:t xml:space="preserve"> </w:t>
      </w:r>
      <w:r w:rsidR="00CB1EFC" w:rsidRPr="00F81457">
        <w:rPr>
          <w:bCs/>
          <w:color w:val="444444"/>
        </w:rPr>
        <w:t>about ATOD use</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Raising awareness about the costs and consequence</w:t>
      </w:r>
      <w:r w:rsidR="00CB1EFC" w:rsidRPr="00F81457">
        <w:rPr>
          <w:bCs/>
          <w:color w:val="444444"/>
        </w:rPr>
        <w:t>s of ATOD misuse and abuse</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Building skills in youth, parents and communities to deal with these issues effectively.</w:t>
      </w:r>
      <w:r w:rsidR="00F83D04" w:rsidRPr="00F81457">
        <w:rPr>
          <w:bCs/>
          <w:color w:val="444444"/>
        </w:rPr>
        <w:t xml:space="preserve"> </w:t>
      </w:r>
    </w:p>
    <w:p w:rsidR="00F83D04" w:rsidRPr="00682B94" w:rsidRDefault="00F83D04" w:rsidP="009E59E1">
      <w:pPr>
        <w:shd w:val="clear" w:color="auto" w:fill="FFFFFF"/>
        <w:spacing w:after="528" w:line="240" w:lineRule="auto"/>
        <w:textAlignment w:val="baseline"/>
        <w:rPr>
          <w:rFonts w:ascii="Times New Roman" w:eastAsia="Times New Roman" w:hAnsi="Times New Roman" w:cs="Times New Roman"/>
          <w:bCs/>
          <w:color w:val="444444"/>
          <w:sz w:val="24"/>
          <w:szCs w:val="24"/>
        </w:rPr>
      </w:pPr>
      <w:r w:rsidRPr="00F83D04">
        <w:rPr>
          <w:rFonts w:ascii="Times New Roman" w:eastAsia="Times New Roman" w:hAnsi="Times New Roman" w:cs="Times New Roman"/>
          <w:bCs/>
          <w:color w:val="444444"/>
          <w:sz w:val="24"/>
          <w:szCs w:val="24"/>
        </w:rPr>
        <w:t xml:space="preserve">The community coalition model </w:t>
      </w:r>
      <w:r w:rsidR="005C5CCD">
        <w:rPr>
          <w:rFonts w:ascii="Times New Roman" w:eastAsia="Times New Roman" w:hAnsi="Times New Roman" w:cs="Times New Roman"/>
          <w:bCs/>
          <w:color w:val="444444"/>
          <w:sz w:val="24"/>
          <w:szCs w:val="24"/>
        </w:rPr>
        <w:t xml:space="preserve">utilized in RI </w:t>
      </w:r>
      <w:r w:rsidRPr="00F83D04">
        <w:rPr>
          <w:rFonts w:ascii="Times New Roman" w:eastAsia="Times New Roman" w:hAnsi="Times New Roman" w:cs="Times New Roman"/>
          <w:bCs/>
          <w:color w:val="444444"/>
          <w:sz w:val="24"/>
          <w:szCs w:val="24"/>
        </w:rPr>
        <w:t xml:space="preserve">has proven successful in reducing </w:t>
      </w:r>
      <w:r w:rsidR="005C5CCD">
        <w:rPr>
          <w:rFonts w:ascii="Times New Roman" w:eastAsia="Times New Roman" w:hAnsi="Times New Roman" w:cs="Times New Roman"/>
          <w:bCs/>
          <w:color w:val="444444"/>
          <w:sz w:val="24"/>
          <w:szCs w:val="24"/>
        </w:rPr>
        <w:t xml:space="preserve">alcohol and other </w:t>
      </w:r>
      <w:r w:rsidR="00682B94">
        <w:rPr>
          <w:rFonts w:ascii="Times New Roman" w:eastAsia="Times New Roman" w:hAnsi="Times New Roman" w:cs="Times New Roman"/>
          <w:bCs/>
          <w:color w:val="444444"/>
          <w:sz w:val="24"/>
          <w:szCs w:val="24"/>
        </w:rPr>
        <w:t>drug use and underage drinking.</w:t>
      </w:r>
    </w:p>
    <w:p w:rsidR="004C79AE" w:rsidRDefault="004C79AE" w:rsidP="00423F1A">
      <w:pPr>
        <w:shd w:val="clear" w:color="auto" w:fill="FFFFFF"/>
        <w:spacing w:after="528" w:line="336" w:lineRule="atLeast"/>
        <w:textAlignment w:val="baseline"/>
        <w:rPr>
          <w:rFonts w:ascii="Times New Roman" w:eastAsia="Times New Roman" w:hAnsi="Times New Roman" w:cs="Times New Roman"/>
          <w:b/>
          <w:sz w:val="24"/>
          <w:szCs w:val="24"/>
        </w:rPr>
      </w:pPr>
      <w:r w:rsidRPr="004C79AE">
        <w:rPr>
          <w:rFonts w:ascii="Times New Roman" w:eastAsia="Times New Roman" w:hAnsi="Times New Roman" w:cs="Times New Roman"/>
          <w:b/>
          <w:sz w:val="24"/>
          <w:szCs w:val="24"/>
        </w:rPr>
        <w:lastRenderedPageBreak/>
        <w:t xml:space="preserve">Current Prevention is </w:t>
      </w:r>
      <w:r w:rsidR="00646BAD" w:rsidRPr="004C79AE">
        <w:rPr>
          <w:rFonts w:ascii="Times New Roman" w:eastAsia="Times New Roman" w:hAnsi="Times New Roman" w:cs="Times New Roman"/>
          <w:b/>
          <w:sz w:val="24"/>
          <w:szCs w:val="24"/>
        </w:rPr>
        <w:t xml:space="preserve">Outcomes Based </w:t>
      </w:r>
    </w:p>
    <w:p w:rsidR="004C79AE" w:rsidRDefault="004C79AE" w:rsidP="004C79AE">
      <w:pPr>
        <w:pStyle w:val="Default"/>
        <w:rPr>
          <w:rFonts w:ascii="Times New Roman" w:eastAsia="Times New Roman" w:hAnsi="Times New Roman" w:cs="Times New Roman"/>
        </w:rPr>
      </w:pPr>
      <w:r>
        <w:rPr>
          <w:rFonts w:ascii="Times New Roman" w:eastAsia="Times New Roman" w:hAnsi="Times New Roman" w:cs="Times New Roman"/>
        </w:rPr>
        <w:t>Rhode Island has chosen to align its prevention goals with those of the Substance Abuse and Mental Health Services Administration Center for Substance Abuse Prevention. They are:</w:t>
      </w:r>
    </w:p>
    <w:p w:rsidR="004C79AE" w:rsidRPr="005605B9" w:rsidRDefault="004C79AE" w:rsidP="004C79AE">
      <w:pPr>
        <w:pStyle w:val="Default"/>
        <w:ind w:left="720"/>
        <w:rPr>
          <w:rFonts w:ascii="Times New Roman" w:eastAsia="Times New Roman" w:hAnsi="Times New Roman" w:cs="Times New Roman"/>
        </w:rPr>
      </w:pPr>
      <w:r>
        <w:rPr>
          <w:rFonts w:ascii="Times New Roman" w:hAnsi="Times New Roman" w:cs="Times New Roman"/>
          <w:b/>
          <w:bCs/>
          <w:sz w:val="23"/>
          <w:szCs w:val="23"/>
        </w:rPr>
        <w:t xml:space="preserve">Goal 1: </w:t>
      </w:r>
      <w:r>
        <w:rPr>
          <w:rFonts w:ascii="Times New Roman" w:hAnsi="Times New Roman" w:cs="Times New Roman"/>
          <w:sz w:val="23"/>
          <w:szCs w:val="23"/>
        </w:rPr>
        <w:t xml:space="preserve">With primary prevention as the focus, build emotional health, prevent or delay onset of, and mitigate symptoms and complications from substance abuse and mental illness. </w:t>
      </w:r>
    </w:p>
    <w:p w:rsidR="004C79AE" w:rsidRDefault="004C79AE" w:rsidP="004C79AE">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Goal 2: </w:t>
      </w:r>
      <w:r>
        <w:rPr>
          <w:rFonts w:ascii="Times New Roman" w:hAnsi="Times New Roman" w:cs="Times New Roman"/>
          <w:sz w:val="23"/>
          <w:szCs w:val="23"/>
        </w:rPr>
        <w:t xml:space="preserve">Prevent or reduce consequences of underage drinking and adult problem drinking. </w:t>
      </w:r>
    </w:p>
    <w:p w:rsidR="004C79AE" w:rsidRDefault="004C79AE" w:rsidP="004C79AE">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Goal 3: </w:t>
      </w:r>
      <w:r>
        <w:rPr>
          <w:rFonts w:ascii="Times New Roman" w:hAnsi="Times New Roman" w:cs="Times New Roman"/>
          <w:sz w:val="23"/>
          <w:szCs w:val="23"/>
        </w:rPr>
        <w:t xml:space="preserve">Prevent suicides and attempted suicides among populations at high risk, especially military families, LGBTQ youth, and American Indians and Alaska Natives. </w:t>
      </w:r>
    </w:p>
    <w:p w:rsidR="004C79AE" w:rsidRDefault="004C79AE" w:rsidP="004C79AE">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Goal 4: </w:t>
      </w:r>
      <w:r>
        <w:rPr>
          <w:rFonts w:ascii="Times New Roman" w:hAnsi="Times New Roman" w:cs="Times New Roman"/>
          <w:sz w:val="23"/>
          <w:szCs w:val="23"/>
        </w:rPr>
        <w:t xml:space="preserve">Reduce prescription drug misuse and abuse. </w:t>
      </w:r>
    </w:p>
    <w:p w:rsidR="004C79AE" w:rsidRDefault="004C79AE" w:rsidP="004C79AE">
      <w:pPr>
        <w:pStyle w:val="Default"/>
        <w:rPr>
          <w:rFonts w:ascii="Times New Roman" w:hAnsi="Times New Roman" w:cs="Times New Roman"/>
          <w:sz w:val="23"/>
          <w:szCs w:val="23"/>
        </w:rPr>
      </w:pPr>
    </w:p>
    <w:p w:rsidR="00F81457" w:rsidRPr="00682B94" w:rsidRDefault="004C79AE" w:rsidP="00423F1A">
      <w:pPr>
        <w:shd w:val="clear" w:color="auto" w:fill="FFFFFF"/>
        <w:spacing w:after="528" w:line="336" w:lineRule="atLeast"/>
        <w:textAlignment w:val="baseline"/>
        <w:rPr>
          <w:rFonts w:ascii="Times New Roman" w:eastAsia="Times New Roman" w:hAnsi="Times New Roman" w:cs="Times New Roman"/>
          <w:sz w:val="24"/>
          <w:szCs w:val="24"/>
        </w:rPr>
      </w:pPr>
      <w:r w:rsidRPr="00682B94">
        <w:rPr>
          <w:rFonts w:ascii="Times New Roman" w:eastAsia="Times New Roman" w:hAnsi="Times New Roman" w:cs="Times New Roman"/>
          <w:sz w:val="24"/>
          <w:szCs w:val="24"/>
        </w:rPr>
        <w:t xml:space="preserve">The interventions used by prevention providers in RI </w:t>
      </w:r>
      <w:r w:rsidR="00F81457" w:rsidRPr="00682B94">
        <w:rPr>
          <w:rFonts w:ascii="Times New Roman" w:eastAsia="Times New Roman" w:hAnsi="Times New Roman" w:cs="Times New Roman"/>
          <w:sz w:val="24"/>
          <w:szCs w:val="24"/>
        </w:rPr>
        <w:t xml:space="preserve">are not random but are based on evidence of effectiveness documented in current </w:t>
      </w:r>
      <w:r w:rsidR="005C5CCD" w:rsidRPr="00682B94">
        <w:rPr>
          <w:rFonts w:ascii="Times New Roman" w:eastAsia="Times New Roman" w:hAnsi="Times New Roman" w:cs="Times New Roman"/>
          <w:sz w:val="24"/>
          <w:szCs w:val="24"/>
        </w:rPr>
        <w:t>research. Prevention in the US is on</w:t>
      </w:r>
      <w:r w:rsidRPr="00682B94">
        <w:rPr>
          <w:rFonts w:ascii="Times New Roman" w:eastAsia="Times New Roman" w:hAnsi="Times New Roman" w:cs="Times New Roman"/>
          <w:sz w:val="24"/>
          <w:szCs w:val="24"/>
        </w:rPr>
        <w:t xml:space="preserve"> </w:t>
      </w:r>
      <w:r w:rsidR="00F81457" w:rsidRPr="00682B94">
        <w:rPr>
          <w:rFonts w:ascii="Times New Roman" w:eastAsia="Times New Roman" w:hAnsi="Times New Roman" w:cs="Times New Roman"/>
          <w:sz w:val="24"/>
          <w:szCs w:val="24"/>
        </w:rPr>
        <w:t>the Risk and Protective Factor Theory developed by David Hawkins and Richard Catalano introduced in the late 1980s. Since then research</w:t>
      </w:r>
      <w:r w:rsidRPr="00682B94">
        <w:rPr>
          <w:rFonts w:ascii="Times New Roman" w:eastAsia="Times New Roman" w:hAnsi="Times New Roman" w:cs="Times New Roman"/>
          <w:sz w:val="24"/>
          <w:szCs w:val="24"/>
        </w:rPr>
        <w:t>ers</w:t>
      </w:r>
      <w:r w:rsidR="00F81457" w:rsidRPr="00682B94">
        <w:rPr>
          <w:rFonts w:ascii="Times New Roman" w:eastAsia="Times New Roman" w:hAnsi="Times New Roman" w:cs="Times New Roman"/>
          <w:sz w:val="24"/>
          <w:szCs w:val="24"/>
        </w:rPr>
        <w:t xml:space="preserve"> have continued to add to the list of known risk and protective factors for substance abuse and mental health disorders. Prevention providers are required to use a </w:t>
      </w:r>
      <w:r w:rsidR="009E59E1" w:rsidRPr="00682B94">
        <w:rPr>
          <w:rFonts w:ascii="Times New Roman" w:eastAsia="Times New Roman" w:hAnsi="Times New Roman" w:cs="Times New Roman"/>
          <w:sz w:val="24"/>
          <w:szCs w:val="24"/>
        </w:rPr>
        <w:t xml:space="preserve">continuous </w:t>
      </w:r>
      <w:r w:rsidR="00F81457" w:rsidRPr="00682B94">
        <w:rPr>
          <w:rFonts w:ascii="Times New Roman" w:eastAsia="Times New Roman" w:hAnsi="Times New Roman" w:cs="Times New Roman"/>
          <w:sz w:val="24"/>
          <w:szCs w:val="24"/>
        </w:rPr>
        <w:t>strategic planning framework that includes:</w:t>
      </w:r>
    </w:p>
    <w:p w:rsidR="00F81457" w:rsidRPr="00682B94" w:rsidRDefault="004C79AE" w:rsidP="004C79AE">
      <w:pPr>
        <w:pStyle w:val="ListParagraph"/>
        <w:numPr>
          <w:ilvl w:val="0"/>
          <w:numId w:val="7"/>
        </w:numPr>
        <w:shd w:val="clear" w:color="auto" w:fill="FFFFFF"/>
        <w:spacing w:after="528" w:line="336" w:lineRule="atLeast"/>
        <w:textAlignment w:val="baseline"/>
      </w:pPr>
      <w:r w:rsidRPr="00682B94">
        <w:rPr>
          <w:i/>
          <w:u w:val="single"/>
        </w:rPr>
        <w:t>Assessing</w:t>
      </w:r>
      <w:r w:rsidRPr="00682B94">
        <w:rPr>
          <w:u w:val="single"/>
        </w:rPr>
        <w:t xml:space="preserve"> </w:t>
      </w:r>
      <w:r w:rsidRPr="00682B94">
        <w:t xml:space="preserve">local </w:t>
      </w:r>
      <w:r w:rsidR="00F81457" w:rsidRPr="00682B94">
        <w:t xml:space="preserve">data to identify the </w:t>
      </w:r>
      <w:r w:rsidRPr="00682B94">
        <w:t xml:space="preserve">substance abuse </w:t>
      </w:r>
      <w:r w:rsidR="00F81457" w:rsidRPr="00682B94">
        <w:t>problem</w:t>
      </w:r>
      <w:r w:rsidR="005C5CCD" w:rsidRPr="00682B94">
        <w:t>(s)</w:t>
      </w:r>
      <w:r w:rsidR="00F81457" w:rsidRPr="00682B94">
        <w:t xml:space="preserve"> to focus on and the risk and protective factors related to it</w:t>
      </w:r>
    </w:p>
    <w:p w:rsidR="00F81457" w:rsidRPr="00682B94" w:rsidRDefault="00F81457" w:rsidP="004C79AE">
      <w:pPr>
        <w:pStyle w:val="ListParagraph"/>
        <w:numPr>
          <w:ilvl w:val="0"/>
          <w:numId w:val="7"/>
        </w:numPr>
        <w:shd w:val="clear" w:color="auto" w:fill="FFFFFF"/>
        <w:spacing w:after="528" w:line="336" w:lineRule="atLeast"/>
        <w:textAlignment w:val="baseline"/>
      </w:pPr>
      <w:r w:rsidRPr="00682B94">
        <w:t>Assess</w:t>
      </w:r>
      <w:r w:rsidR="004C79AE" w:rsidRPr="00682B94">
        <w:t>ing</w:t>
      </w:r>
      <w:r w:rsidRPr="00682B94">
        <w:t xml:space="preserve"> and then </w:t>
      </w:r>
      <w:r w:rsidRPr="00682B94">
        <w:rPr>
          <w:i/>
          <w:u w:val="single"/>
        </w:rPr>
        <w:t>build</w:t>
      </w:r>
      <w:r w:rsidR="004C79AE" w:rsidRPr="00682B94">
        <w:rPr>
          <w:i/>
          <w:u w:val="single"/>
        </w:rPr>
        <w:t>ing</w:t>
      </w:r>
      <w:r w:rsidRPr="00682B94">
        <w:rPr>
          <w:i/>
        </w:rPr>
        <w:t xml:space="preserve"> c</w:t>
      </w:r>
      <w:r w:rsidRPr="00682B94">
        <w:t>ommunity capacity to respond to the problem</w:t>
      </w:r>
    </w:p>
    <w:p w:rsidR="00F81457" w:rsidRPr="00682B94" w:rsidRDefault="00F81457" w:rsidP="004C79AE">
      <w:pPr>
        <w:pStyle w:val="ListParagraph"/>
        <w:numPr>
          <w:ilvl w:val="0"/>
          <w:numId w:val="7"/>
        </w:numPr>
        <w:shd w:val="clear" w:color="auto" w:fill="FFFFFF"/>
        <w:spacing w:after="528" w:line="336" w:lineRule="atLeast"/>
        <w:textAlignment w:val="baseline"/>
      </w:pPr>
      <w:r w:rsidRPr="00682B94">
        <w:rPr>
          <w:i/>
          <w:u w:val="single"/>
        </w:rPr>
        <w:t>Plan</w:t>
      </w:r>
      <w:r w:rsidR="004C79AE" w:rsidRPr="00682B94">
        <w:rPr>
          <w:i/>
          <w:u w:val="single"/>
        </w:rPr>
        <w:t>ning</w:t>
      </w:r>
      <w:r w:rsidRPr="00682B94">
        <w:rPr>
          <w:i/>
          <w:u w:val="single"/>
        </w:rPr>
        <w:t xml:space="preserve"> </w:t>
      </w:r>
      <w:r w:rsidR="004C79AE" w:rsidRPr="00682B94">
        <w:t xml:space="preserve">and then </w:t>
      </w:r>
      <w:r w:rsidR="004C79AE" w:rsidRPr="00682B94">
        <w:rPr>
          <w:i/>
          <w:u w:val="single"/>
        </w:rPr>
        <w:t>implementing</w:t>
      </w:r>
      <w:r w:rsidR="004C79AE" w:rsidRPr="00682B94">
        <w:rPr>
          <w:i/>
        </w:rPr>
        <w:t xml:space="preserve"> </w:t>
      </w:r>
      <w:r w:rsidR="009E59E1" w:rsidRPr="00682B94">
        <w:rPr>
          <w:i/>
        </w:rPr>
        <w:t xml:space="preserve">evidence-based </w:t>
      </w:r>
      <w:r w:rsidR="005C5CCD" w:rsidRPr="00682B94">
        <w:t>prevention interventions</w:t>
      </w:r>
      <w:r w:rsidR="004C79AE" w:rsidRPr="00682B94">
        <w:t xml:space="preserve"> </w:t>
      </w:r>
      <w:r w:rsidR="009E59E1" w:rsidRPr="00682B94">
        <w:t>( programs, policies and practices) directly related to the identified</w:t>
      </w:r>
      <w:r w:rsidR="004C79AE" w:rsidRPr="00682B94">
        <w:t xml:space="preserve"> risk and protective factors </w:t>
      </w:r>
    </w:p>
    <w:p w:rsidR="004C79AE" w:rsidRPr="00682B94" w:rsidRDefault="004C79AE" w:rsidP="004C79AE">
      <w:pPr>
        <w:pStyle w:val="ListParagraph"/>
        <w:numPr>
          <w:ilvl w:val="0"/>
          <w:numId w:val="7"/>
        </w:numPr>
        <w:shd w:val="clear" w:color="auto" w:fill="FFFFFF"/>
        <w:spacing w:after="528" w:line="336" w:lineRule="atLeast"/>
        <w:textAlignment w:val="baseline"/>
      </w:pPr>
      <w:r w:rsidRPr="00682B94">
        <w:rPr>
          <w:i/>
          <w:u w:val="single"/>
        </w:rPr>
        <w:t xml:space="preserve">Evaluating </w:t>
      </w:r>
      <w:r w:rsidRPr="00682B94">
        <w:t xml:space="preserve">effectiveness </w:t>
      </w:r>
      <w:r w:rsidR="009E59E1" w:rsidRPr="00682B94">
        <w:t xml:space="preserve">of the interventions </w:t>
      </w:r>
      <w:r w:rsidRPr="00682B94">
        <w:t>using outcome data</w:t>
      </w:r>
    </w:p>
    <w:p w:rsidR="00A16790" w:rsidRPr="00A16790" w:rsidRDefault="00423F1A" w:rsidP="00A16790">
      <w:pPr>
        <w:shd w:val="clear" w:color="auto" w:fill="FFFFFF"/>
        <w:spacing w:after="225" w:line="336" w:lineRule="atLeast"/>
        <w:textAlignment w:val="baseline"/>
        <w:outlineLvl w:val="1"/>
        <w:rPr>
          <w:rFonts w:ascii="Times New Roman" w:eastAsia="Times New Roman" w:hAnsi="Times New Roman" w:cs="Times New Roman"/>
          <w:sz w:val="24"/>
          <w:szCs w:val="24"/>
        </w:rPr>
      </w:pPr>
      <w:r>
        <w:rPr>
          <w:noProof/>
        </w:rPr>
        <w:lastRenderedPageBreak/>
        <w:drawing>
          <wp:inline distT="0" distB="0" distL="0" distR="0" wp14:anchorId="5A7331CD" wp14:editId="104A5E57">
            <wp:extent cx="4720590" cy="2434590"/>
            <wp:effectExtent l="0" t="0" r="0" b="3810"/>
            <wp:docPr id="2"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23F1A" w:rsidRDefault="00423F1A" w:rsidP="00646BAD">
      <w:pPr>
        <w:shd w:val="clear" w:color="auto" w:fill="FFFFFF"/>
        <w:spacing w:after="225" w:line="336" w:lineRule="atLeast"/>
        <w:textAlignment w:val="baseline"/>
        <w:outlineLvl w:val="1"/>
        <w:rPr>
          <w:rFonts w:ascii="Times New Roman" w:eastAsia="Times New Roman" w:hAnsi="Times New Roman" w:cs="Times New Roman"/>
          <w:color w:val="444444"/>
          <w:sz w:val="24"/>
          <w:szCs w:val="24"/>
        </w:rPr>
      </w:pPr>
    </w:p>
    <w:p w:rsidR="00646BAD" w:rsidRPr="00341C8E" w:rsidRDefault="00646BAD" w:rsidP="00646BAD">
      <w:pPr>
        <w:shd w:val="clear" w:color="auto" w:fill="FFFFFF"/>
        <w:spacing w:after="225" w:line="336" w:lineRule="atLeast"/>
        <w:textAlignment w:val="baseline"/>
        <w:outlineLvl w:val="1"/>
        <w:rPr>
          <w:rFonts w:ascii="Times New Roman" w:eastAsia="Times New Roman" w:hAnsi="Times New Roman" w:cs="Times New Roman"/>
          <w:b/>
          <w:sz w:val="24"/>
          <w:szCs w:val="24"/>
        </w:rPr>
      </w:pPr>
      <w:r w:rsidRPr="00341C8E">
        <w:rPr>
          <w:rFonts w:ascii="Times New Roman" w:eastAsia="Times New Roman" w:hAnsi="Times New Roman" w:cs="Times New Roman"/>
          <w:b/>
          <w:sz w:val="24"/>
          <w:szCs w:val="24"/>
        </w:rPr>
        <w:t>Prevention Works</w:t>
      </w:r>
      <w:r w:rsidR="004C79AE">
        <w:rPr>
          <w:rFonts w:ascii="Times New Roman" w:eastAsia="Times New Roman" w:hAnsi="Times New Roman" w:cs="Times New Roman"/>
          <w:b/>
          <w:sz w:val="24"/>
          <w:szCs w:val="24"/>
        </w:rPr>
        <w:t>!</w:t>
      </w:r>
    </w:p>
    <w:p w:rsidR="006530BC" w:rsidRPr="005C5CCD" w:rsidRDefault="00F83D04" w:rsidP="005C5CCD">
      <w:pPr>
        <w:spacing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are </w:t>
      </w:r>
      <w:r w:rsidR="00646BAD" w:rsidRPr="00341C8E">
        <w:rPr>
          <w:rFonts w:ascii="Times New Roman" w:eastAsia="Times New Roman" w:hAnsi="Times New Roman" w:cs="Times New Roman"/>
          <w:sz w:val="24"/>
          <w:szCs w:val="24"/>
        </w:rPr>
        <w:t>preventable.</w:t>
      </w:r>
      <w:r w:rsidR="005C5CCD">
        <w:rPr>
          <w:rFonts w:ascii="Times New Roman" w:eastAsia="Times New Roman" w:hAnsi="Times New Roman" w:cs="Times New Roman"/>
          <w:sz w:val="24"/>
          <w:szCs w:val="24"/>
        </w:rPr>
        <w:t xml:space="preserve"> </w:t>
      </w:r>
      <w:r w:rsidR="00646BAD" w:rsidRPr="00341C8E">
        <w:rPr>
          <w:rFonts w:ascii="Times New Roman" w:eastAsia="Times New Roman" w:hAnsi="Times New Roman" w:cs="Times New Roman"/>
        </w:rPr>
        <w:t>Over 20 years of research demonstrates that prevention interventions designed and tested to reduce risk and enhance protective factors can help children at every step along their developmental path, from early childhood into young adulth</w:t>
      </w:r>
      <w:r w:rsidR="00646BAD">
        <w:rPr>
          <w:rFonts w:ascii="Times New Roman" w:eastAsia="Times New Roman" w:hAnsi="Times New Roman" w:cs="Times New Roman"/>
        </w:rPr>
        <w:t xml:space="preserve">ood. Prevention research </w:t>
      </w:r>
      <w:r w:rsidR="00646BAD" w:rsidRPr="00341C8E">
        <w:rPr>
          <w:rFonts w:ascii="Times New Roman" w:eastAsia="Times New Roman" w:hAnsi="Times New Roman" w:cs="Times New Roman"/>
        </w:rPr>
        <w:t xml:space="preserve">strives to help people </w:t>
      </w:r>
      <w:r w:rsidR="00646BAD" w:rsidRPr="009E59E1">
        <w:rPr>
          <w:rFonts w:ascii="Times New Roman" w:eastAsia="Times New Roman" w:hAnsi="Times New Roman" w:cs="Times New Roman"/>
          <w:i/>
        </w:rPr>
        <w:t>across the lifespan</w:t>
      </w:r>
      <w:r w:rsidR="00646BAD" w:rsidRPr="00341C8E">
        <w:rPr>
          <w:rFonts w:ascii="Times New Roman" w:eastAsia="Times New Roman" w:hAnsi="Times New Roman" w:cs="Times New Roman"/>
        </w:rPr>
        <w:t xml:space="preserve"> develop and apply the skills and resources they need to stop problem behaviors before, and after, they begin.</w:t>
      </w:r>
    </w:p>
    <w:p w:rsidR="004C79AE" w:rsidRDefault="004C79AE" w:rsidP="005C5CCD">
      <w:pPr>
        <w:pStyle w:val="Default"/>
        <w:rPr>
          <w:rFonts w:ascii="Times New Roman" w:eastAsia="Times New Roman" w:hAnsi="Times New Roman" w:cs="Times New Roman"/>
        </w:rPr>
      </w:pPr>
    </w:p>
    <w:p w:rsidR="004C79AE" w:rsidRDefault="004C79AE" w:rsidP="005C5CCD">
      <w:pPr>
        <w:shd w:val="clear" w:color="auto" w:fill="FFFFFF"/>
        <w:spacing w:after="528" w:line="240" w:lineRule="auto"/>
        <w:textAlignment w:val="baseline"/>
        <w:rPr>
          <w:rFonts w:ascii="Times New Roman" w:eastAsia="Times New Roman" w:hAnsi="Times New Roman" w:cs="Times New Roman"/>
          <w:sz w:val="24"/>
          <w:szCs w:val="24"/>
        </w:rPr>
      </w:pPr>
    </w:p>
    <w:p w:rsidR="00C8487E" w:rsidRPr="00682B94" w:rsidRDefault="00C8487E" w:rsidP="005C5CCD">
      <w:pPr>
        <w:shd w:val="clear" w:color="auto" w:fill="FFFFFF"/>
        <w:spacing w:after="528" w:line="240" w:lineRule="auto"/>
        <w:textAlignment w:val="baseline"/>
        <w:rPr>
          <w:rFonts w:ascii="Times New Roman" w:eastAsia="Times New Roman" w:hAnsi="Times New Roman" w:cs="Times New Roman"/>
          <w:sz w:val="24"/>
          <w:szCs w:val="24"/>
        </w:rPr>
      </w:pPr>
    </w:p>
    <w:p w:rsidR="009E50E0" w:rsidRDefault="009E50E0" w:rsidP="006C6833">
      <w:pPr>
        <w:shd w:val="clear" w:color="auto" w:fill="FFFFFF"/>
        <w:spacing w:after="528" w:line="240" w:lineRule="auto"/>
        <w:textAlignment w:val="baseline"/>
        <w:rPr>
          <w:rFonts w:ascii="Times New Roman" w:hAnsi="Times New Roman" w:cs="Times New Roman"/>
          <w:b/>
          <w:color w:val="000000" w:themeColor="text1"/>
          <w:sz w:val="23"/>
          <w:szCs w:val="23"/>
        </w:rPr>
      </w:pPr>
    </w:p>
    <w:p w:rsidR="009E50E0" w:rsidRDefault="009E50E0" w:rsidP="006C6833">
      <w:pPr>
        <w:shd w:val="clear" w:color="auto" w:fill="FFFFFF"/>
        <w:spacing w:after="528" w:line="240" w:lineRule="auto"/>
        <w:textAlignment w:val="baseline"/>
        <w:rPr>
          <w:rFonts w:ascii="Times New Roman" w:hAnsi="Times New Roman" w:cs="Times New Roman"/>
          <w:b/>
          <w:color w:val="000000" w:themeColor="text1"/>
          <w:sz w:val="23"/>
          <w:szCs w:val="23"/>
        </w:rPr>
      </w:pPr>
    </w:p>
    <w:p w:rsidR="000148AB" w:rsidRDefault="00F50C3B" w:rsidP="000148AB">
      <w:pPr>
        <w:shd w:val="clear" w:color="auto" w:fill="FFFFFF"/>
        <w:spacing w:after="240" w:line="240" w:lineRule="auto"/>
        <w:textAlignment w:val="baseline"/>
        <w:rPr>
          <w:rFonts w:ascii="Times New Roman" w:hAnsi="Times New Roman" w:cs="Times New Roman"/>
          <w:b/>
          <w:color w:val="000000" w:themeColor="text1"/>
          <w:sz w:val="23"/>
          <w:szCs w:val="23"/>
        </w:rPr>
      </w:pPr>
      <w:r w:rsidRPr="006C6833">
        <w:rPr>
          <w:rFonts w:ascii="Times New Roman" w:hAnsi="Times New Roman" w:cs="Times New Roman"/>
          <w:b/>
          <w:color w:val="000000" w:themeColor="text1"/>
          <w:sz w:val="23"/>
          <w:szCs w:val="23"/>
        </w:rPr>
        <w:lastRenderedPageBreak/>
        <w:t>The Rhode Island Problem</w:t>
      </w:r>
    </w:p>
    <w:p w:rsidR="006C6833" w:rsidRDefault="006C6833" w:rsidP="000148AB">
      <w:pPr>
        <w:shd w:val="clear" w:color="auto" w:fill="FFFFFF"/>
        <w:spacing w:after="240" w:line="240" w:lineRule="auto"/>
        <w:textAlignment w:val="baseline"/>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 xml:space="preserve">Rhode Island Ranking: </w:t>
      </w:r>
    </w:p>
    <w:p w:rsidR="006C6833" w:rsidRPr="006C6833" w:rsidRDefault="008814C6" w:rsidP="006C6833">
      <w:pPr>
        <w:pStyle w:val="ListParagraph"/>
        <w:numPr>
          <w:ilvl w:val="0"/>
          <w:numId w:val="9"/>
        </w:numPr>
        <w:shd w:val="clear" w:color="auto" w:fill="FFFFFF"/>
        <w:spacing w:after="240"/>
        <w:textAlignment w:val="baseline"/>
        <w:rPr>
          <w:b/>
          <w:color w:val="000000" w:themeColor="text1"/>
          <w:sz w:val="23"/>
          <w:szCs w:val="23"/>
        </w:rPr>
      </w:pPr>
      <w:r w:rsidRPr="006C6833">
        <w:rPr>
          <w:color w:val="000000" w:themeColor="text1"/>
          <w:sz w:val="23"/>
          <w:szCs w:val="23"/>
        </w:rPr>
        <w:t xml:space="preserve">2010 National Survey on Drug Use and Health (NSDUH) </w:t>
      </w:r>
      <w:r w:rsidR="000563CF" w:rsidRPr="006C6833">
        <w:rPr>
          <w:color w:val="000000" w:themeColor="text1"/>
          <w:sz w:val="23"/>
          <w:szCs w:val="23"/>
        </w:rPr>
        <w:t>repor</w:t>
      </w:r>
      <w:r w:rsidR="00980420" w:rsidRPr="006C6833">
        <w:rPr>
          <w:color w:val="000000" w:themeColor="text1"/>
          <w:sz w:val="23"/>
          <w:szCs w:val="23"/>
        </w:rPr>
        <w:t>ted Rhode Island is in top fifth</w:t>
      </w:r>
      <w:r w:rsidR="000563CF" w:rsidRPr="006C6833">
        <w:rPr>
          <w:color w:val="000000" w:themeColor="text1"/>
          <w:sz w:val="23"/>
          <w:szCs w:val="23"/>
        </w:rPr>
        <w:t xml:space="preserve"> for the past month</w:t>
      </w:r>
      <w:r w:rsidR="006C6833" w:rsidRPr="006C6833">
        <w:rPr>
          <w:color w:val="000000" w:themeColor="text1"/>
          <w:sz w:val="23"/>
          <w:szCs w:val="23"/>
        </w:rPr>
        <w:t xml:space="preserve"> illicit drug and marijuana use.</w:t>
      </w:r>
    </w:p>
    <w:p w:rsidR="006C6833" w:rsidRPr="006C6833" w:rsidRDefault="00980420" w:rsidP="006C6833">
      <w:pPr>
        <w:pStyle w:val="ListParagraph"/>
        <w:numPr>
          <w:ilvl w:val="0"/>
          <w:numId w:val="9"/>
        </w:numPr>
        <w:shd w:val="clear" w:color="auto" w:fill="FFFFFF"/>
        <w:spacing w:after="240"/>
        <w:textAlignment w:val="baseline"/>
        <w:rPr>
          <w:b/>
          <w:color w:val="000000" w:themeColor="text1"/>
          <w:sz w:val="23"/>
          <w:szCs w:val="23"/>
        </w:rPr>
      </w:pPr>
      <w:r w:rsidRPr="006C6833">
        <w:rPr>
          <w:rFonts w:eastAsiaTheme="minorEastAsia"/>
          <w:color w:val="000000" w:themeColor="text1"/>
          <w:kern w:val="24"/>
          <w:sz w:val="22"/>
          <w:szCs w:val="22"/>
        </w:rPr>
        <w:t>2012 NISDUH data reports Rhode Island exceeds the rates in illicit drug, marijuana, alcohol and tobacco use in all populations over 12 years in past month use</w:t>
      </w:r>
    </w:p>
    <w:p w:rsidR="006C6833" w:rsidRPr="006C6833" w:rsidRDefault="00980420" w:rsidP="006C6833">
      <w:pPr>
        <w:pStyle w:val="ListParagraph"/>
        <w:numPr>
          <w:ilvl w:val="0"/>
          <w:numId w:val="9"/>
        </w:numPr>
        <w:shd w:val="clear" w:color="auto" w:fill="FFFFFF"/>
        <w:spacing w:after="240"/>
        <w:textAlignment w:val="baseline"/>
        <w:rPr>
          <w:b/>
          <w:color w:val="000000" w:themeColor="text1"/>
          <w:sz w:val="23"/>
          <w:szCs w:val="23"/>
        </w:rPr>
      </w:pPr>
      <w:r w:rsidRPr="006C6833">
        <w:rPr>
          <w:rFonts w:eastAsiaTheme="minorEastAsia"/>
          <w:color w:val="000000" w:themeColor="text1"/>
          <w:kern w:val="24"/>
          <w:sz w:val="22"/>
          <w:szCs w:val="22"/>
        </w:rPr>
        <w:t>RI also exceeds the rates nationally and regionall</w:t>
      </w:r>
      <w:r w:rsidR="006C6833">
        <w:rPr>
          <w:rFonts w:eastAsiaTheme="minorEastAsia"/>
          <w:color w:val="000000" w:themeColor="text1"/>
          <w:kern w:val="24"/>
          <w:sz w:val="22"/>
          <w:szCs w:val="22"/>
        </w:rPr>
        <w:t>y</w:t>
      </w:r>
    </w:p>
    <w:p w:rsidR="000563CF" w:rsidRPr="006C6833" w:rsidRDefault="00980420" w:rsidP="006C6833">
      <w:pPr>
        <w:pStyle w:val="ListParagraph"/>
        <w:numPr>
          <w:ilvl w:val="0"/>
          <w:numId w:val="9"/>
        </w:numPr>
        <w:shd w:val="clear" w:color="auto" w:fill="FFFFFF"/>
        <w:spacing w:after="240"/>
        <w:textAlignment w:val="baseline"/>
        <w:rPr>
          <w:b/>
          <w:color w:val="000000" w:themeColor="text1"/>
          <w:sz w:val="23"/>
          <w:szCs w:val="23"/>
        </w:rPr>
      </w:pPr>
      <w:r w:rsidRPr="006C6833">
        <w:rPr>
          <w:rFonts w:eastAsiaTheme="minorEastAsia"/>
          <w:color w:val="000000" w:themeColor="text1"/>
          <w:kern w:val="24"/>
          <w:sz w:val="22"/>
          <w:szCs w:val="22"/>
        </w:rPr>
        <w:t>Prescri</w:t>
      </w:r>
      <w:r w:rsidR="006C6833" w:rsidRPr="006C6833">
        <w:rPr>
          <w:rFonts w:eastAsiaTheme="minorEastAsia"/>
          <w:color w:val="000000" w:themeColor="text1"/>
          <w:kern w:val="24"/>
          <w:sz w:val="22"/>
          <w:szCs w:val="22"/>
        </w:rPr>
        <w:t>ption drug use for past year (N</w:t>
      </w:r>
      <w:r w:rsidRPr="006C6833">
        <w:rPr>
          <w:rFonts w:eastAsiaTheme="minorEastAsia"/>
          <w:color w:val="000000" w:themeColor="text1"/>
          <w:kern w:val="24"/>
          <w:sz w:val="22"/>
          <w:szCs w:val="22"/>
        </w:rPr>
        <w:t xml:space="preserve">SDUH 2012), Rhode Island exceeds both US and New England region </w:t>
      </w:r>
      <w:r w:rsidRPr="006C6833">
        <w:rPr>
          <w:color w:val="000000" w:themeColor="text1"/>
          <w:sz w:val="23"/>
          <w:szCs w:val="23"/>
        </w:rPr>
        <w:t>a</w:t>
      </w:r>
      <w:r w:rsidR="000563CF" w:rsidRPr="006C6833">
        <w:rPr>
          <w:color w:val="000000" w:themeColor="text1"/>
          <w:sz w:val="23"/>
          <w:szCs w:val="23"/>
        </w:rPr>
        <w:t xml:space="preserve">mong persons aged 12 or older. </w:t>
      </w:r>
    </w:p>
    <w:p w:rsidR="006C6833" w:rsidRPr="006C6833" w:rsidRDefault="006C6833" w:rsidP="006C6833">
      <w:pPr>
        <w:pStyle w:val="ListParagraph"/>
        <w:shd w:val="clear" w:color="auto" w:fill="FFFFFF"/>
        <w:spacing w:after="240"/>
        <w:textAlignment w:val="baseline"/>
        <w:rPr>
          <w:b/>
          <w:color w:val="000000" w:themeColor="text1"/>
          <w:sz w:val="23"/>
          <w:szCs w:val="23"/>
        </w:rPr>
      </w:pPr>
    </w:p>
    <w:p w:rsidR="006C6833" w:rsidRPr="006C6833" w:rsidRDefault="006C6833" w:rsidP="009E50E0">
      <w:pPr>
        <w:pStyle w:val="ListParagraph"/>
        <w:shd w:val="clear" w:color="auto" w:fill="FFFFFF"/>
        <w:ind w:left="0"/>
        <w:textAlignment w:val="baseline"/>
        <w:rPr>
          <w:b/>
          <w:color w:val="000000" w:themeColor="text1"/>
          <w:sz w:val="23"/>
          <w:szCs w:val="23"/>
        </w:rPr>
      </w:pPr>
      <w:r>
        <w:rPr>
          <w:b/>
          <w:color w:val="000000" w:themeColor="text1"/>
          <w:sz w:val="23"/>
          <w:szCs w:val="23"/>
        </w:rPr>
        <w:t>Past month use in individuals aged 12 and older</w:t>
      </w:r>
    </w:p>
    <w:tbl>
      <w:tblPr>
        <w:tblStyle w:val="TableGrid"/>
        <w:tblW w:w="0" w:type="auto"/>
        <w:tblInd w:w="-72" w:type="dxa"/>
        <w:tblLook w:val="04A0" w:firstRow="1" w:lastRow="0" w:firstColumn="1" w:lastColumn="0" w:noHBand="0" w:noVBand="1"/>
      </w:tblPr>
      <w:tblGrid>
        <w:gridCol w:w="1987"/>
        <w:gridCol w:w="1915"/>
        <w:gridCol w:w="1915"/>
        <w:gridCol w:w="1915"/>
        <w:gridCol w:w="1916"/>
      </w:tblGrid>
      <w:tr w:rsidR="006C6833" w:rsidRPr="00C118B8" w:rsidTr="006C6833">
        <w:tc>
          <w:tcPr>
            <w:tcW w:w="1987" w:type="dxa"/>
          </w:tcPr>
          <w:p w:rsidR="000563CF" w:rsidRPr="00C118B8" w:rsidRDefault="000563CF" w:rsidP="006C6833">
            <w:pPr>
              <w:rPr>
                <w:color w:val="000000" w:themeColor="text1"/>
              </w:rPr>
            </w:pPr>
          </w:p>
        </w:tc>
        <w:tc>
          <w:tcPr>
            <w:tcW w:w="1915" w:type="dxa"/>
          </w:tcPr>
          <w:p w:rsidR="000563CF" w:rsidRPr="00C118B8" w:rsidRDefault="000563CF" w:rsidP="006C6833">
            <w:pPr>
              <w:rPr>
                <w:color w:val="000000" w:themeColor="text1"/>
              </w:rPr>
            </w:pPr>
            <w:r w:rsidRPr="00C118B8">
              <w:rPr>
                <w:color w:val="000000" w:themeColor="text1"/>
              </w:rPr>
              <w:t>Illicit Drug Use</w:t>
            </w:r>
          </w:p>
        </w:tc>
        <w:tc>
          <w:tcPr>
            <w:tcW w:w="1915" w:type="dxa"/>
          </w:tcPr>
          <w:p w:rsidR="000563CF" w:rsidRPr="00C118B8" w:rsidRDefault="000563CF" w:rsidP="006C6833">
            <w:pPr>
              <w:rPr>
                <w:color w:val="000000" w:themeColor="text1"/>
              </w:rPr>
            </w:pPr>
            <w:r w:rsidRPr="00C118B8">
              <w:rPr>
                <w:color w:val="000000" w:themeColor="text1"/>
              </w:rPr>
              <w:t>Marijuana</w:t>
            </w:r>
          </w:p>
        </w:tc>
        <w:tc>
          <w:tcPr>
            <w:tcW w:w="1915" w:type="dxa"/>
          </w:tcPr>
          <w:p w:rsidR="000563CF" w:rsidRPr="00C118B8" w:rsidRDefault="000563CF" w:rsidP="006C6833">
            <w:pPr>
              <w:rPr>
                <w:color w:val="000000" w:themeColor="text1"/>
              </w:rPr>
            </w:pPr>
            <w:r w:rsidRPr="00C118B8">
              <w:rPr>
                <w:color w:val="000000" w:themeColor="text1"/>
              </w:rPr>
              <w:t>Alcohol</w:t>
            </w:r>
          </w:p>
        </w:tc>
        <w:tc>
          <w:tcPr>
            <w:tcW w:w="1916" w:type="dxa"/>
          </w:tcPr>
          <w:p w:rsidR="000563CF" w:rsidRPr="00C118B8" w:rsidRDefault="000563CF" w:rsidP="006C6833">
            <w:pPr>
              <w:rPr>
                <w:color w:val="000000" w:themeColor="text1"/>
              </w:rPr>
            </w:pPr>
            <w:r w:rsidRPr="00C118B8">
              <w:rPr>
                <w:color w:val="000000" w:themeColor="text1"/>
              </w:rPr>
              <w:t>Tobacco</w:t>
            </w:r>
          </w:p>
        </w:tc>
      </w:tr>
      <w:tr w:rsidR="006C6833" w:rsidRPr="00C118B8" w:rsidTr="006C6833">
        <w:tc>
          <w:tcPr>
            <w:tcW w:w="1987" w:type="dxa"/>
          </w:tcPr>
          <w:p w:rsidR="000563CF" w:rsidRPr="00C118B8" w:rsidRDefault="000563CF" w:rsidP="006C6833">
            <w:pPr>
              <w:rPr>
                <w:color w:val="000000" w:themeColor="text1"/>
              </w:rPr>
            </w:pPr>
            <w:r w:rsidRPr="00C118B8">
              <w:rPr>
                <w:color w:val="000000" w:themeColor="text1"/>
              </w:rPr>
              <w:t>US</w:t>
            </w:r>
          </w:p>
        </w:tc>
        <w:tc>
          <w:tcPr>
            <w:tcW w:w="1915" w:type="dxa"/>
          </w:tcPr>
          <w:p w:rsidR="000563CF" w:rsidRPr="00C118B8" w:rsidRDefault="000563CF" w:rsidP="006C6833">
            <w:pPr>
              <w:rPr>
                <w:color w:val="000000" w:themeColor="text1"/>
              </w:rPr>
            </w:pPr>
            <w:r w:rsidRPr="00C118B8">
              <w:rPr>
                <w:color w:val="000000" w:themeColor="text1"/>
              </w:rPr>
              <w:t>8.95%</w:t>
            </w:r>
          </w:p>
        </w:tc>
        <w:tc>
          <w:tcPr>
            <w:tcW w:w="1915" w:type="dxa"/>
          </w:tcPr>
          <w:p w:rsidR="000563CF" w:rsidRPr="00C118B8" w:rsidRDefault="000563CF" w:rsidP="006C6833">
            <w:pPr>
              <w:rPr>
                <w:color w:val="000000" w:themeColor="text1"/>
              </w:rPr>
            </w:pPr>
            <w:r w:rsidRPr="00C118B8">
              <w:rPr>
                <w:color w:val="000000" w:themeColor="text1"/>
              </w:rPr>
              <w:t>7.13%</w:t>
            </w:r>
          </w:p>
        </w:tc>
        <w:tc>
          <w:tcPr>
            <w:tcW w:w="1915" w:type="dxa"/>
          </w:tcPr>
          <w:p w:rsidR="000563CF" w:rsidRPr="00C118B8" w:rsidRDefault="000563CF" w:rsidP="006C6833">
            <w:pPr>
              <w:rPr>
                <w:color w:val="000000" w:themeColor="text1"/>
              </w:rPr>
            </w:pPr>
            <w:r w:rsidRPr="00C118B8">
              <w:rPr>
                <w:color w:val="000000" w:themeColor="text1"/>
              </w:rPr>
              <w:t>51.94%</w:t>
            </w:r>
          </w:p>
        </w:tc>
        <w:tc>
          <w:tcPr>
            <w:tcW w:w="1916" w:type="dxa"/>
          </w:tcPr>
          <w:p w:rsidR="000563CF" w:rsidRPr="00C118B8" w:rsidRDefault="000563CF" w:rsidP="006C6833">
            <w:pPr>
              <w:rPr>
                <w:color w:val="000000" w:themeColor="text1"/>
              </w:rPr>
            </w:pPr>
            <w:r w:rsidRPr="00C118B8">
              <w:rPr>
                <w:color w:val="000000" w:themeColor="text1"/>
              </w:rPr>
              <w:t>26.60%</w:t>
            </w:r>
          </w:p>
        </w:tc>
      </w:tr>
      <w:tr w:rsidR="006C6833" w:rsidRPr="00C118B8" w:rsidTr="006C6833">
        <w:tc>
          <w:tcPr>
            <w:tcW w:w="1987" w:type="dxa"/>
          </w:tcPr>
          <w:p w:rsidR="000563CF" w:rsidRPr="00C118B8" w:rsidRDefault="000563CF" w:rsidP="006C6833">
            <w:pPr>
              <w:rPr>
                <w:color w:val="000000" w:themeColor="text1"/>
              </w:rPr>
            </w:pPr>
            <w:r w:rsidRPr="00C118B8">
              <w:rPr>
                <w:color w:val="000000" w:themeColor="text1"/>
              </w:rPr>
              <w:t>New England</w:t>
            </w:r>
          </w:p>
        </w:tc>
        <w:tc>
          <w:tcPr>
            <w:tcW w:w="1915" w:type="dxa"/>
          </w:tcPr>
          <w:p w:rsidR="000563CF" w:rsidRPr="00C118B8" w:rsidRDefault="000563CF" w:rsidP="006C6833">
            <w:pPr>
              <w:rPr>
                <w:color w:val="000000" w:themeColor="text1"/>
              </w:rPr>
            </w:pPr>
            <w:r w:rsidRPr="00C118B8">
              <w:rPr>
                <w:color w:val="000000" w:themeColor="text1"/>
              </w:rPr>
              <w:t>9.35%</w:t>
            </w:r>
          </w:p>
        </w:tc>
        <w:tc>
          <w:tcPr>
            <w:tcW w:w="1915" w:type="dxa"/>
          </w:tcPr>
          <w:p w:rsidR="000563CF" w:rsidRPr="00C118B8" w:rsidRDefault="000563CF" w:rsidP="006C6833">
            <w:pPr>
              <w:rPr>
                <w:color w:val="000000" w:themeColor="text1"/>
              </w:rPr>
            </w:pPr>
            <w:r w:rsidRPr="00C118B8">
              <w:rPr>
                <w:color w:val="000000" w:themeColor="text1"/>
              </w:rPr>
              <w:t>7.72%</w:t>
            </w:r>
          </w:p>
        </w:tc>
        <w:tc>
          <w:tcPr>
            <w:tcW w:w="1915" w:type="dxa"/>
          </w:tcPr>
          <w:p w:rsidR="000563CF" w:rsidRPr="00C118B8" w:rsidRDefault="000563CF" w:rsidP="006C6833">
            <w:pPr>
              <w:rPr>
                <w:color w:val="000000" w:themeColor="text1"/>
              </w:rPr>
            </w:pPr>
            <w:r w:rsidRPr="00C118B8">
              <w:rPr>
                <w:color w:val="000000" w:themeColor="text1"/>
              </w:rPr>
              <w:t>57.31%</w:t>
            </w:r>
          </w:p>
        </w:tc>
        <w:tc>
          <w:tcPr>
            <w:tcW w:w="1916" w:type="dxa"/>
          </w:tcPr>
          <w:p w:rsidR="000563CF" w:rsidRPr="00C118B8" w:rsidRDefault="000563CF" w:rsidP="006C6833">
            <w:pPr>
              <w:rPr>
                <w:color w:val="000000" w:themeColor="text1"/>
              </w:rPr>
            </w:pPr>
            <w:r w:rsidRPr="00C118B8">
              <w:rPr>
                <w:color w:val="000000" w:themeColor="text1"/>
              </w:rPr>
              <w:t>25.62%</w:t>
            </w:r>
          </w:p>
        </w:tc>
      </w:tr>
      <w:tr w:rsidR="006C6833" w:rsidRPr="00C118B8" w:rsidTr="006C6833">
        <w:tc>
          <w:tcPr>
            <w:tcW w:w="1987" w:type="dxa"/>
          </w:tcPr>
          <w:p w:rsidR="000563CF" w:rsidRPr="00C118B8" w:rsidRDefault="000563CF" w:rsidP="006C6833">
            <w:pPr>
              <w:rPr>
                <w:color w:val="000000" w:themeColor="text1"/>
              </w:rPr>
            </w:pPr>
            <w:r w:rsidRPr="00C118B8">
              <w:rPr>
                <w:color w:val="000000" w:themeColor="text1"/>
              </w:rPr>
              <w:t>Rhode Island</w:t>
            </w:r>
          </w:p>
        </w:tc>
        <w:tc>
          <w:tcPr>
            <w:tcW w:w="1915" w:type="dxa"/>
          </w:tcPr>
          <w:p w:rsidR="000563CF" w:rsidRPr="00C118B8" w:rsidRDefault="000563CF" w:rsidP="006C6833">
            <w:pPr>
              <w:rPr>
                <w:color w:val="000000" w:themeColor="text1"/>
              </w:rPr>
            </w:pPr>
            <w:r w:rsidRPr="00C118B8">
              <w:rPr>
                <w:color w:val="000000" w:themeColor="text1"/>
              </w:rPr>
              <w:t>15.61%</w:t>
            </w:r>
          </w:p>
        </w:tc>
        <w:tc>
          <w:tcPr>
            <w:tcW w:w="1915" w:type="dxa"/>
          </w:tcPr>
          <w:p w:rsidR="000563CF" w:rsidRPr="00C118B8" w:rsidRDefault="000563CF" w:rsidP="006C6833">
            <w:pPr>
              <w:rPr>
                <w:color w:val="000000" w:themeColor="text1"/>
              </w:rPr>
            </w:pPr>
            <w:r w:rsidRPr="00C118B8">
              <w:rPr>
                <w:color w:val="000000" w:themeColor="text1"/>
              </w:rPr>
              <w:t>13.00%</w:t>
            </w:r>
          </w:p>
        </w:tc>
        <w:tc>
          <w:tcPr>
            <w:tcW w:w="1915" w:type="dxa"/>
          </w:tcPr>
          <w:p w:rsidR="000563CF" w:rsidRPr="00C118B8" w:rsidRDefault="000563CF" w:rsidP="006C6833">
            <w:pPr>
              <w:rPr>
                <w:color w:val="000000" w:themeColor="text1"/>
              </w:rPr>
            </w:pPr>
            <w:r w:rsidRPr="00C118B8">
              <w:rPr>
                <w:color w:val="000000" w:themeColor="text1"/>
              </w:rPr>
              <w:t>63.35%</w:t>
            </w:r>
          </w:p>
        </w:tc>
        <w:tc>
          <w:tcPr>
            <w:tcW w:w="1916" w:type="dxa"/>
          </w:tcPr>
          <w:p w:rsidR="000563CF" w:rsidRPr="00C118B8" w:rsidRDefault="000563CF" w:rsidP="006C6833">
            <w:pPr>
              <w:rPr>
                <w:color w:val="000000" w:themeColor="text1"/>
              </w:rPr>
            </w:pPr>
            <w:r w:rsidRPr="00C118B8">
              <w:rPr>
                <w:color w:val="000000" w:themeColor="text1"/>
              </w:rPr>
              <w:t>28.05%</w:t>
            </w:r>
          </w:p>
        </w:tc>
      </w:tr>
    </w:tbl>
    <w:p w:rsidR="006C6833" w:rsidRDefault="006C6833" w:rsidP="006C6833">
      <w:pPr>
        <w:rPr>
          <w:color w:val="000000" w:themeColor="text1"/>
        </w:rPr>
      </w:pPr>
      <w:r>
        <w:rPr>
          <w:color w:val="000000" w:themeColor="text1"/>
        </w:rPr>
        <w:tab/>
      </w:r>
    </w:p>
    <w:p w:rsidR="006C6833" w:rsidRPr="006C6833" w:rsidRDefault="006C6833" w:rsidP="006C6833">
      <w:pPr>
        <w:spacing w:after="0"/>
        <w:rPr>
          <w:color w:val="000000" w:themeColor="text1"/>
        </w:rPr>
      </w:pPr>
      <w:r w:rsidRPr="006C6833">
        <w:rPr>
          <w:rFonts w:ascii="Times New Roman" w:hAnsi="Times New Roman" w:cs="Times New Roman"/>
          <w:b/>
          <w:color w:val="000000" w:themeColor="text1"/>
        </w:rPr>
        <w:t>Past year prescription drug use in individuals 12 and older</w:t>
      </w:r>
    </w:p>
    <w:tbl>
      <w:tblPr>
        <w:tblStyle w:val="TableGrid"/>
        <w:tblW w:w="0" w:type="auto"/>
        <w:tblLook w:val="04A0" w:firstRow="1" w:lastRow="0" w:firstColumn="1" w:lastColumn="0" w:noHBand="0" w:noVBand="1"/>
      </w:tblPr>
      <w:tblGrid>
        <w:gridCol w:w="1930"/>
        <w:gridCol w:w="1930"/>
      </w:tblGrid>
      <w:tr w:rsidR="006C6833" w:rsidRPr="006C6833" w:rsidTr="006C6833">
        <w:trPr>
          <w:trHeight w:val="258"/>
        </w:trPr>
        <w:tc>
          <w:tcPr>
            <w:tcW w:w="1930" w:type="dxa"/>
          </w:tcPr>
          <w:p w:rsidR="006C6833" w:rsidRPr="006C6833" w:rsidRDefault="006C6833" w:rsidP="006C6833">
            <w:pPr>
              <w:rPr>
                <w:color w:val="000000" w:themeColor="text1"/>
              </w:rPr>
            </w:pPr>
          </w:p>
        </w:tc>
        <w:tc>
          <w:tcPr>
            <w:tcW w:w="1930" w:type="dxa"/>
          </w:tcPr>
          <w:p w:rsidR="006C6833" w:rsidRPr="006C6833" w:rsidRDefault="006C6833" w:rsidP="006C6833">
            <w:pPr>
              <w:rPr>
                <w:color w:val="000000" w:themeColor="text1"/>
              </w:rPr>
            </w:pPr>
            <w:r w:rsidRPr="006C6833">
              <w:rPr>
                <w:color w:val="000000" w:themeColor="text1"/>
              </w:rPr>
              <w:t>Prescription Drug</w:t>
            </w:r>
          </w:p>
        </w:tc>
      </w:tr>
      <w:tr w:rsidR="006C6833" w:rsidRPr="006C6833" w:rsidTr="006C6833">
        <w:trPr>
          <w:trHeight w:val="274"/>
        </w:trPr>
        <w:tc>
          <w:tcPr>
            <w:tcW w:w="1930" w:type="dxa"/>
          </w:tcPr>
          <w:p w:rsidR="006C6833" w:rsidRPr="006C6833" w:rsidRDefault="006C6833" w:rsidP="006C6833">
            <w:pPr>
              <w:rPr>
                <w:color w:val="000000" w:themeColor="text1"/>
              </w:rPr>
            </w:pPr>
            <w:r w:rsidRPr="006C6833">
              <w:rPr>
                <w:color w:val="000000" w:themeColor="text1"/>
              </w:rPr>
              <w:t>US</w:t>
            </w:r>
          </w:p>
        </w:tc>
        <w:tc>
          <w:tcPr>
            <w:tcW w:w="1930" w:type="dxa"/>
          </w:tcPr>
          <w:p w:rsidR="006C6833" w:rsidRPr="006C6833" w:rsidRDefault="006C6833" w:rsidP="006C6833">
            <w:pPr>
              <w:rPr>
                <w:color w:val="000000" w:themeColor="text1"/>
              </w:rPr>
            </w:pPr>
            <w:r w:rsidRPr="006C6833">
              <w:rPr>
                <w:color w:val="000000" w:themeColor="text1"/>
              </w:rPr>
              <w:t>4.57%</w:t>
            </w:r>
          </w:p>
        </w:tc>
      </w:tr>
      <w:tr w:rsidR="006C6833" w:rsidRPr="006C6833" w:rsidTr="006C6833">
        <w:trPr>
          <w:trHeight w:val="258"/>
        </w:trPr>
        <w:tc>
          <w:tcPr>
            <w:tcW w:w="1930" w:type="dxa"/>
          </w:tcPr>
          <w:p w:rsidR="006C6833" w:rsidRPr="006C6833" w:rsidRDefault="006C6833" w:rsidP="006C6833">
            <w:pPr>
              <w:rPr>
                <w:color w:val="000000" w:themeColor="text1"/>
              </w:rPr>
            </w:pPr>
            <w:r w:rsidRPr="006C6833">
              <w:rPr>
                <w:color w:val="000000" w:themeColor="text1"/>
              </w:rPr>
              <w:t>New England</w:t>
            </w:r>
          </w:p>
        </w:tc>
        <w:tc>
          <w:tcPr>
            <w:tcW w:w="1930" w:type="dxa"/>
          </w:tcPr>
          <w:p w:rsidR="006C6833" w:rsidRPr="006C6833" w:rsidRDefault="006C6833" w:rsidP="006C6833">
            <w:pPr>
              <w:rPr>
                <w:color w:val="000000" w:themeColor="text1"/>
              </w:rPr>
            </w:pPr>
            <w:r w:rsidRPr="006C6833">
              <w:rPr>
                <w:color w:val="000000" w:themeColor="text1"/>
              </w:rPr>
              <w:t>4.14%</w:t>
            </w:r>
          </w:p>
        </w:tc>
      </w:tr>
      <w:tr w:rsidR="006C6833" w:rsidRPr="006C6833" w:rsidTr="006C6833">
        <w:trPr>
          <w:trHeight w:val="289"/>
        </w:trPr>
        <w:tc>
          <w:tcPr>
            <w:tcW w:w="1930" w:type="dxa"/>
          </w:tcPr>
          <w:p w:rsidR="006C6833" w:rsidRPr="006C6833" w:rsidRDefault="006C6833" w:rsidP="006C6833">
            <w:pPr>
              <w:rPr>
                <w:color w:val="000000" w:themeColor="text1"/>
              </w:rPr>
            </w:pPr>
            <w:r w:rsidRPr="006C6833">
              <w:rPr>
                <w:color w:val="000000" w:themeColor="text1"/>
              </w:rPr>
              <w:t>Rhode Island</w:t>
            </w:r>
          </w:p>
        </w:tc>
        <w:tc>
          <w:tcPr>
            <w:tcW w:w="1930" w:type="dxa"/>
          </w:tcPr>
          <w:p w:rsidR="006C6833" w:rsidRPr="006C6833" w:rsidRDefault="006C6833" w:rsidP="006C6833">
            <w:pPr>
              <w:rPr>
                <w:color w:val="000000" w:themeColor="text1"/>
              </w:rPr>
            </w:pPr>
            <w:r w:rsidRPr="006C6833">
              <w:rPr>
                <w:color w:val="000000" w:themeColor="text1"/>
              </w:rPr>
              <w:t>5.23%</w:t>
            </w:r>
          </w:p>
        </w:tc>
      </w:tr>
    </w:tbl>
    <w:p w:rsidR="006C6833" w:rsidRPr="006C6833" w:rsidRDefault="006C6833" w:rsidP="000563CF">
      <w:pPr>
        <w:rPr>
          <w:color w:val="000000" w:themeColor="text1"/>
        </w:rPr>
      </w:pPr>
    </w:p>
    <w:p w:rsidR="006F468B" w:rsidRPr="00682B94" w:rsidRDefault="00F50C3B" w:rsidP="005C5CCD">
      <w:pPr>
        <w:pStyle w:val="Default"/>
        <w:rPr>
          <w:rFonts w:ascii="Times New Roman" w:hAnsi="Times New Roman" w:cs="Times New Roman"/>
          <w:color w:val="auto"/>
          <w:sz w:val="23"/>
          <w:szCs w:val="23"/>
        </w:rPr>
      </w:pPr>
      <w:r w:rsidRPr="00682B94">
        <w:rPr>
          <w:rFonts w:ascii="Times New Roman" w:hAnsi="Times New Roman" w:cs="Times New Roman"/>
          <w:color w:val="auto"/>
          <w:sz w:val="23"/>
          <w:szCs w:val="23"/>
        </w:rPr>
        <w:t>So what is the concern? This last legislative session effectively ELIMINATED all state dollars allocated to prevention programming. The g</w:t>
      </w:r>
      <w:r w:rsidR="0019186D" w:rsidRPr="00682B94">
        <w:rPr>
          <w:rFonts w:ascii="Times New Roman" w:hAnsi="Times New Roman" w:cs="Times New Roman"/>
          <w:color w:val="auto"/>
          <w:sz w:val="23"/>
          <w:szCs w:val="23"/>
        </w:rPr>
        <w:t xml:space="preserve">eneral revenue allocation has </w:t>
      </w:r>
      <w:r w:rsidRPr="00682B94">
        <w:rPr>
          <w:rFonts w:ascii="Times New Roman" w:hAnsi="Times New Roman" w:cs="Times New Roman"/>
          <w:color w:val="auto"/>
          <w:sz w:val="23"/>
          <w:szCs w:val="23"/>
        </w:rPr>
        <w:t xml:space="preserve">completely </w:t>
      </w:r>
      <w:r w:rsidR="0019186D" w:rsidRPr="00682B94">
        <w:rPr>
          <w:rFonts w:ascii="Times New Roman" w:hAnsi="Times New Roman" w:cs="Times New Roman"/>
          <w:color w:val="auto"/>
          <w:sz w:val="23"/>
          <w:szCs w:val="23"/>
        </w:rPr>
        <w:t xml:space="preserve">disappeared. </w:t>
      </w:r>
      <w:r w:rsidRPr="00682B94">
        <w:rPr>
          <w:rFonts w:ascii="Times New Roman" w:hAnsi="Times New Roman" w:cs="Times New Roman"/>
          <w:color w:val="auto"/>
          <w:sz w:val="23"/>
          <w:szCs w:val="23"/>
        </w:rPr>
        <w:t xml:space="preserve">With rates of substance </w:t>
      </w:r>
      <w:r w:rsidR="005C5CCD" w:rsidRPr="00682B94">
        <w:rPr>
          <w:rFonts w:ascii="Times New Roman" w:hAnsi="Times New Roman" w:cs="Times New Roman"/>
          <w:color w:val="auto"/>
          <w:sz w:val="23"/>
          <w:szCs w:val="23"/>
        </w:rPr>
        <w:t>ab</w:t>
      </w:r>
      <w:r w:rsidRPr="00682B94">
        <w:rPr>
          <w:rFonts w:ascii="Times New Roman" w:hAnsi="Times New Roman" w:cs="Times New Roman"/>
          <w:color w:val="auto"/>
          <w:sz w:val="23"/>
          <w:szCs w:val="23"/>
        </w:rPr>
        <w:t xml:space="preserve">use still high, ZERO dollars at the state level are being allocated to this issue. </w:t>
      </w:r>
      <w:r w:rsidR="0019186D" w:rsidRPr="00682B94">
        <w:rPr>
          <w:rFonts w:ascii="Times New Roman" w:hAnsi="Times New Roman" w:cs="Times New Roman"/>
          <w:color w:val="auto"/>
          <w:sz w:val="23"/>
          <w:szCs w:val="23"/>
        </w:rPr>
        <w:t xml:space="preserve">All funding </w:t>
      </w:r>
      <w:r w:rsidR="006F468B" w:rsidRPr="00682B94">
        <w:rPr>
          <w:rFonts w:ascii="Times New Roman" w:hAnsi="Times New Roman" w:cs="Times New Roman"/>
          <w:color w:val="auto"/>
          <w:sz w:val="23"/>
          <w:szCs w:val="23"/>
        </w:rPr>
        <w:t xml:space="preserve">for prevention now comes </w:t>
      </w:r>
      <w:r w:rsidR="0019186D" w:rsidRPr="00682B94">
        <w:rPr>
          <w:rFonts w:ascii="Times New Roman" w:hAnsi="Times New Roman" w:cs="Times New Roman"/>
          <w:color w:val="auto"/>
          <w:sz w:val="23"/>
          <w:szCs w:val="23"/>
        </w:rPr>
        <w:t xml:space="preserve">through </w:t>
      </w:r>
      <w:r w:rsidR="006F468B" w:rsidRPr="00682B94">
        <w:rPr>
          <w:rFonts w:ascii="Times New Roman" w:hAnsi="Times New Roman" w:cs="Times New Roman"/>
          <w:color w:val="auto"/>
          <w:sz w:val="23"/>
          <w:szCs w:val="23"/>
        </w:rPr>
        <w:t>the federal funding,</w:t>
      </w:r>
      <w:r w:rsidR="008C1148" w:rsidRPr="00682B94">
        <w:rPr>
          <w:rFonts w:ascii="Times New Roman" w:hAnsi="Times New Roman" w:cs="Times New Roman"/>
          <w:color w:val="auto"/>
          <w:sz w:val="23"/>
          <w:szCs w:val="23"/>
        </w:rPr>
        <w:t xml:space="preserve"> whose future is unknown</w:t>
      </w:r>
      <w:r w:rsidR="006F468B" w:rsidRPr="00682B94">
        <w:rPr>
          <w:rFonts w:ascii="Times New Roman" w:hAnsi="Times New Roman" w:cs="Times New Roman"/>
          <w:color w:val="auto"/>
          <w:sz w:val="23"/>
          <w:szCs w:val="23"/>
        </w:rPr>
        <w:t xml:space="preserve">, putting the future of prevention in RI in jeopardy. </w:t>
      </w:r>
    </w:p>
    <w:p w:rsidR="005C5CCD" w:rsidRDefault="005C5CCD" w:rsidP="005C5CCD">
      <w:pPr>
        <w:pStyle w:val="Default"/>
        <w:rPr>
          <w:rFonts w:ascii="Times New Roman" w:hAnsi="Times New Roman" w:cs="Times New Roman"/>
          <w:color w:val="auto"/>
          <w:sz w:val="23"/>
          <w:szCs w:val="23"/>
        </w:rPr>
      </w:pPr>
    </w:p>
    <w:p w:rsidR="00AC6204" w:rsidRPr="00AC6204" w:rsidRDefault="00AC6204" w:rsidP="00AC6204">
      <w:pPr>
        <w:autoSpaceDE w:val="0"/>
        <w:autoSpaceDN w:val="0"/>
        <w:adjustRightInd w:val="0"/>
        <w:spacing w:after="0" w:line="240" w:lineRule="auto"/>
        <w:rPr>
          <w:rFonts w:ascii="Times New Roman" w:hAnsi="Times New Roman" w:cs="Times New Roman"/>
          <w:sz w:val="24"/>
          <w:szCs w:val="24"/>
        </w:rPr>
      </w:pPr>
      <w:r w:rsidRPr="00AC6204">
        <w:rPr>
          <w:rFonts w:ascii="Times New Roman" w:hAnsi="Times New Roman" w:cs="Times New Roman"/>
          <w:sz w:val="24"/>
          <w:szCs w:val="24"/>
        </w:rPr>
        <w:t>In addition to the transfer of funds from a state line item to federal dollars, our state services have diminished. For example, decreases in funding to the "state’s student assistance programs has resulted in drastic decreases in the number of students who receive services statewide from over 10,000 at risk youth served to just over 4,000 this year, 60% drop in just 6 years. Our task force network considered to be one of the most comprehensive in the country and a major factor in RI receiving a number of federal grants has experienced at least two significant cuts in the past 10 years</w:t>
      </w:r>
      <w:r>
        <w:rPr>
          <w:rFonts w:ascii="Times New Roman" w:hAnsi="Times New Roman" w:cs="Times New Roman"/>
          <w:sz w:val="24"/>
          <w:szCs w:val="24"/>
        </w:rPr>
        <w:t>.</w:t>
      </w:r>
    </w:p>
    <w:p w:rsidR="009E50E0" w:rsidRDefault="009E50E0" w:rsidP="005C5CCD">
      <w:pPr>
        <w:pStyle w:val="Default"/>
        <w:rPr>
          <w:rFonts w:ascii="Times New Roman" w:hAnsi="Times New Roman" w:cs="Times New Roman"/>
          <w:color w:val="auto"/>
          <w:sz w:val="23"/>
          <w:szCs w:val="23"/>
        </w:rPr>
      </w:pPr>
    </w:p>
    <w:p w:rsidR="00AC6204" w:rsidRDefault="00AC6204" w:rsidP="005C5CCD">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Student assistance programs have experienced a loss of federal and state dollars resulting in regulation in reduction in services which, in turn, has resulted in drastic decreases in the number of students served. In 2008-2009, 20, 339 RI middle and high school services received assessment, early intervention and referral services for substance abuse and related problems. In 2013-2014, 4,112 students received services. </w:t>
      </w:r>
    </w:p>
    <w:p w:rsidR="00AC6204" w:rsidRPr="00682B94" w:rsidRDefault="00AC6204" w:rsidP="005C5CCD">
      <w:pPr>
        <w:pStyle w:val="Default"/>
        <w:rPr>
          <w:rFonts w:ascii="Times New Roman" w:hAnsi="Times New Roman" w:cs="Times New Roman"/>
          <w:color w:val="auto"/>
          <w:sz w:val="23"/>
          <w:szCs w:val="23"/>
        </w:rPr>
      </w:pPr>
    </w:p>
    <w:p w:rsidR="005C5CCD" w:rsidRPr="00682B94" w:rsidRDefault="00AC6204" w:rsidP="005C5CCD">
      <w:pPr>
        <w:pStyle w:val="Default"/>
        <w:rPr>
          <w:rFonts w:ascii="Times New Roman" w:hAnsi="Times New Roman" w:cs="Times New Roman"/>
          <w:color w:val="auto"/>
          <w:sz w:val="23"/>
          <w:szCs w:val="23"/>
        </w:rPr>
      </w:pPr>
      <w:r>
        <w:rPr>
          <w:rFonts w:ascii="Times New Roman" w:hAnsi="Times New Roman" w:cs="Times New Roman"/>
          <w:color w:val="auto"/>
          <w:sz w:val="23"/>
          <w:szCs w:val="23"/>
        </w:rPr>
        <w:t>Rhode Island Substance Abuse Prevention Act (RISAPA) has experienced same kind of cuts</w:t>
      </w:r>
      <w:r w:rsidR="005C5CCD" w:rsidRPr="00682B94">
        <w:rPr>
          <w:rFonts w:ascii="Times New Roman" w:hAnsi="Times New Roman" w:cs="Times New Roman"/>
          <w:color w:val="auto"/>
          <w:sz w:val="23"/>
          <w:szCs w:val="23"/>
        </w:rPr>
        <w:t>. So what does this tells us? Despite decreases in funding and in services, our outcomes have been improving. This is because our providers are working smarter and harder! However, continued cuts---now a grave threat with the current funding situation---wi</w:t>
      </w:r>
      <w:r w:rsidR="009E59E1" w:rsidRPr="00682B94">
        <w:rPr>
          <w:rFonts w:ascii="Times New Roman" w:hAnsi="Times New Roman" w:cs="Times New Roman"/>
          <w:color w:val="auto"/>
          <w:sz w:val="23"/>
          <w:szCs w:val="23"/>
        </w:rPr>
        <w:t xml:space="preserve">ll effectively </w:t>
      </w:r>
      <w:r w:rsidR="00682B94" w:rsidRPr="00682B94">
        <w:rPr>
          <w:rFonts w:ascii="Times New Roman" w:hAnsi="Times New Roman" w:cs="Times New Roman"/>
          <w:color w:val="auto"/>
          <w:sz w:val="23"/>
          <w:szCs w:val="23"/>
        </w:rPr>
        <w:t>paralyze</w:t>
      </w:r>
      <w:r w:rsidR="005C5CCD" w:rsidRPr="00682B94">
        <w:rPr>
          <w:rFonts w:ascii="Times New Roman" w:hAnsi="Times New Roman" w:cs="Times New Roman"/>
          <w:color w:val="auto"/>
          <w:sz w:val="23"/>
          <w:szCs w:val="23"/>
        </w:rPr>
        <w:t xml:space="preserve"> the system of services developed over the years</w:t>
      </w:r>
    </w:p>
    <w:p w:rsidR="006F468B" w:rsidRPr="00682B94" w:rsidRDefault="006F468B" w:rsidP="005C5CCD">
      <w:pPr>
        <w:pStyle w:val="Default"/>
        <w:rPr>
          <w:rFonts w:ascii="Times New Roman" w:hAnsi="Times New Roman" w:cs="Times New Roman"/>
          <w:color w:val="auto"/>
          <w:sz w:val="23"/>
          <w:szCs w:val="23"/>
        </w:rPr>
      </w:pPr>
    </w:p>
    <w:p w:rsidR="00BA17F7" w:rsidRPr="00682B94" w:rsidRDefault="009E59E1" w:rsidP="005C5CCD">
      <w:pPr>
        <w:pStyle w:val="Default"/>
        <w:rPr>
          <w:rFonts w:ascii="Times New Roman" w:hAnsi="Times New Roman" w:cs="Times New Roman"/>
          <w:color w:val="auto"/>
          <w:sz w:val="23"/>
          <w:szCs w:val="23"/>
        </w:rPr>
      </w:pPr>
      <w:r w:rsidRPr="00682B94">
        <w:rPr>
          <w:rFonts w:ascii="Times New Roman" w:hAnsi="Times New Roman" w:cs="Times New Roman"/>
          <w:color w:val="auto"/>
          <w:sz w:val="23"/>
          <w:szCs w:val="23"/>
        </w:rPr>
        <w:t>Leaving all funding to federal sources</w:t>
      </w:r>
      <w:r w:rsidR="0019186D" w:rsidRPr="00682B94">
        <w:rPr>
          <w:rFonts w:ascii="Times New Roman" w:hAnsi="Times New Roman" w:cs="Times New Roman"/>
          <w:color w:val="auto"/>
          <w:sz w:val="23"/>
          <w:szCs w:val="23"/>
        </w:rPr>
        <w:t xml:space="preserve"> </w:t>
      </w:r>
      <w:r w:rsidR="006F468B" w:rsidRPr="00682B94">
        <w:rPr>
          <w:rFonts w:ascii="Times New Roman" w:hAnsi="Times New Roman" w:cs="Times New Roman"/>
          <w:color w:val="auto"/>
          <w:sz w:val="23"/>
          <w:szCs w:val="23"/>
        </w:rPr>
        <w:t>is also causing problems in</w:t>
      </w:r>
      <w:r w:rsidR="0019186D" w:rsidRPr="00682B94">
        <w:rPr>
          <w:rFonts w:ascii="Times New Roman" w:hAnsi="Times New Roman" w:cs="Times New Roman"/>
          <w:color w:val="auto"/>
          <w:sz w:val="23"/>
          <w:szCs w:val="23"/>
        </w:rPr>
        <w:t xml:space="preserve"> our </w:t>
      </w:r>
      <w:r w:rsidR="008C1148" w:rsidRPr="00682B94">
        <w:rPr>
          <w:rFonts w:ascii="Times New Roman" w:hAnsi="Times New Roman" w:cs="Times New Roman"/>
          <w:color w:val="auto"/>
          <w:sz w:val="23"/>
          <w:szCs w:val="23"/>
        </w:rPr>
        <w:t>ability to seek additional federal</w:t>
      </w:r>
      <w:r w:rsidR="006F468B" w:rsidRPr="00682B94">
        <w:rPr>
          <w:rFonts w:ascii="Times New Roman" w:hAnsi="Times New Roman" w:cs="Times New Roman"/>
          <w:color w:val="auto"/>
          <w:sz w:val="23"/>
          <w:szCs w:val="23"/>
        </w:rPr>
        <w:t xml:space="preserve"> dollars</w:t>
      </w:r>
      <w:r w:rsidR="0019186D" w:rsidRPr="00682B94">
        <w:rPr>
          <w:rFonts w:ascii="Times New Roman" w:hAnsi="Times New Roman" w:cs="Times New Roman"/>
          <w:color w:val="auto"/>
          <w:sz w:val="23"/>
          <w:szCs w:val="23"/>
        </w:rPr>
        <w:t>. Before this</w:t>
      </w:r>
      <w:r w:rsidRPr="00682B94">
        <w:rPr>
          <w:rFonts w:ascii="Times New Roman" w:hAnsi="Times New Roman" w:cs="Times New Roman"/>
          <w:color w:val="auto"/>
          <w:sz w:val="23"/>
          <w:szCs w:val="23"/>
        </w:rPr>
        <w:t>, state and local providers</w:t>
      </w:r>
      <w:r w:rsidR="0019186D" w:rsidRPr="00682B94">
        <w:rPr>
          <w:rFonts w:ascii="Times New Roman" w:hAnsi="Times New Roman" w:cs="Times New Roman"/>
          <w:color w:val="auto"/>
          <w:sz w:val="23"/>
          <w:szCs w:val="23"/>
        </w:rPr>
        <w:t xml:space="preserve"> could leverage state funds as matching dollars for federal grant applications. This </w:t>
      </w:r>
      <w:r w:rsidRPr="00682B94">
        <w:rPr>
          <w:rFonts w:ascii="Times New Roman" w:hAnsi="Times New Roman" w:cs="Times New Roman"/>
          <w:color w:val="auto"/>
          <w:sz w:val="23"/>
          <w:szCs w:val="23"/>
        </w:rPr>
        <w:t xml:space="preserve">is no longer an option. </w:t>
      </w:r>
      <w:r w:rsidR="00A060DA" w:rsidRPr="00682B94">
        <w:rPr>
          <w:rFonts w:ascii="Times New Roman" w:hAnsi="Times New Roman" w:cs="Times New Roman"/>
          <w:color w:val="auto"/>
          <w:sz w:val="23"/>
          <w:szCs w:val="23"/>
        </w:rPr>
        <w:t>For example, the federal Drug Free Communities grants have been awarded to nine</w:t>
      </w:r>
      <w:r w:rsidR="006F468B" w:rsidRPr="00682B94">
        <w:rPr>
          <w:rFonts w:ascii="Times New Roman" w:hAnsi="Times New Roman" w:cs="Times New Roman"/>
          <w:color w:val="auto"/>
          <w:sz w:val="23"/>
          <w:szCs w:val="23"/>
        </w:rPr>
        <w:t xml:space="preserve"> RI communities. Any applicant</w:t>
      </w:r>
      <w:r w:rsidR="00A060DA" w:rsidRPr="00682B94">
        <w:rPr>
          <w:rFonts w:ascii="Times New Roman" w:hAnsi="Times New Roman" w:cs="Times New Roman"/>
          <w:color w:val="auto"/>
          <w:sz w:val="23"/>
          <w:szCs w:val="23"/>
        </w:rPr>
        <w:t xml:space="preserve"> must as a requirement provide a d</w:t>
      </w:r>
      <w:r w:rsidRPr="00682B94">
        <w:rPr>
          <w:rFonts w:ascii="Times New Roman" w:hAnsi="Times New Roman" w:cs="Times New Roman"/>
          <w:color w:val="auto"/>
          <w:sz w:val="23"/>
          <w:szCs w:val="23"/>
        </w:rPr>
        <w:t>ollar-for-</w:t>
      </w:r>
      <w:r w:rsidR="00A060DA" w:rsidRPr="00682B94">
        <w:rPr>
          <w:rFonts w:ascii="Times New Roman" w:hAnsi="Times New Roman" w:cs="Times New Roman"/>
          <w:color w:val="auto"/>
          <w:sz w:val="23"/>
          <w:szCs w:val="23"/>
        </w:rPr>
        <w:t xml:space="preserve">dollar </w:t>
      </w:r>
      <w:r w:rsidRPr="00682B94">
        <w:rPr>
          <w:rFonts w:ascii="Times New Roman" w:hAnsi="Times New Roman" w:cs="Times New Roman"/>
          <w:color w:val="auto"/>
          <w:sz w:val="23"/>
          <w:szCs w:val="23"/>
        </w:rPr>
        <w:t xml:space="preserve">local </w:t>
      </w:r>
      <w:r w:rsidR="00A060DA" w:rsidRPr="00682B94">
        <w:rPr>
          <w:rFonts w:ascii="Times New Roman" w:hAnsi="Times New Roman" w:cs="Times New Roman"/>
          <w:color w:val="auto"/>
          <w:sz w:val="23"/>
          <w:szCs w:val="23"/>
        </w:rPr>
        <w:t xml:space="preserve">match. Since </w:t>
      </w:r>
      <w:r w:rsidR="006F468B" w:rsidRPr="00682B94">
        <w:rPr>
          <w:rFonts w:ascii="Times New Roman" w:hAnsi="Times New Roman" w:cs="Times New Roman"/>
          <w:color w:val="auto"/>
          <w:sz w:val="23"/>
          <w:szCs w:val="23"/>
        </w:rPr>
        <w:t xml:space="preserve">communities </w:t>
      </w:r>
      <w:r w:rsidRPr="00682B94">
        <w:rPr>
          <w:rFonts w:ascii="Times New Roman" w:hAnsi="Times New Roman" w:cs="Times New Roman"/>
          <w:color w:val="auto"/>
          <w:sz w:val="23"/>
          <w:szCs w:val="23"/>
        </w:rPr>
        <w:t xml:space="preserve">now </w:t>
      </w:r>
      <w:r w:rsidR="006F468B" w:rsidRPr="00682B94">
        <w:rPr>
          <w:rFonts w:ascii="Times New Roman" w:hAnsi="Times New Roman" w:cs="Times New Roman"/>
          <w:color w:val="auto"/>
          <w:sz w:val="23"/>
          <w:szCs w:val="23"/>
        </w:rPr>
        <w:t xml:space="preserve">have </w:t>
      </w:r>
      <w:r w:rsidR="00A060DA" w:rsidRPr="00682B94">
        <w:rPr>
          <w:rFonts w:ascii="Times New Roman" w:hAnsi="Times New Roman" w:cs="Times New Roman"/>
          <w:color w:val="auto"/>
          <w:sz w:val="23"/>
          <w:szCs w:val="23"/>
        </w:rPr>
        <w:t>no state funds</w:t>
      </w:r>
      <w:r w:rsidR="006F468B" w:rsidRPr="00682B94">
        <w:rPr>
          <w:rFonts w:ascii="Times New Roman" w:hAnsi="Times New Roman" w:cs="Times New Roman"/>
          <w:color w:val="auto"/>
          <w:sz w:val="23"/>
          <w:szCs w:val="23"/>
        </w:rPr>
        <w:t>, th</w:t>
      </w:r>
      <w:r w:rsidRPr="00682B94">
        <w:rPr>
          <w:rFonts w:ascii="Times New Roman" w:hAnsi="Times New Roman" w:cs="Times New Roman"/>
          <w:color w:val="auto"/>
          <w:sz w:val="23"/>
          <w:szCs w:val="23"/>
        </w:rPr>
        <w:t>ey have no money</w:t>
      </w:r>
      <w:r w:rsidR="006F468B" w:rsidRPr="00682B94">
        <w:rPr>
          <w:rFonts w:ascii="Times New Roman" w:hAnsi="Times New Roman" w:cs="Times New Roman"/>
          <w:color w:val="auto"/>
          <w:sz w:val="23"/>
          <w:szCs w:val="23"/>
        </w:rPr>
        <w:t xml:space="preserve"> they can use as matching dollars and so cannot apply, thus eliminating this revenue stream for RI. In fact, communities with current DFC grants may </w:t>
      </w:r>
      <w:r w:rsidRPr="00682B94">
        <w:rPr>
          <w:rFonts w:ascii="Times New Roman" w:hAnsi="Times New Roman" w:cs="Times New Roman"/>
          <w:color w:val="auto"/>
          <w:sz w:val="23"/>
          <w:szCs w:val="23"/>
        </w:rPr>
        <w:t xml:space="preserve">actually </w:t>
      </w:r>
      <w:r w:rsidR="006F468B" w:rsidRPr="00682B94">
        <w:rPr>
          <w:rFonts w:ascii="Times New Roman" w:hAnsi="Times New Roman" w:cs="Times New Roman"/>
          <w:color w:val="auto"/>
          <w:sz w:val="23"/>
          <w:szCs w:val="23"/>
        </w:rPr>
        <w:t>lose their continued funding due to this lack of a match.</w:t>
      </w:r>
    </w:p>
    <w:p w:rsidR="00F50C3B" w:rsidRPr="00682B94" w:rsidRDefault="00F50C3B" w:rsidP="005C5CCD">
      <w:pPr>
        <w:pStyle w:val="Default"/>
        <w:rPr>
          <w:rFonts w:ascii="Times New Roman" w:hAnsi="Times New Roman" w:cs="Times New Roman"/>
          <w:color w:val="auto"/>
          <w:sz w:val="23"/>
          <w:szCs w:val="23"/>
        </w:rPr>
      </w:pPr>
    </w:p>
    <w:p w:rsidR="00F50C3B" w:rsidRPr="00682B94" w:rsidRDefault="00A060DA" w:rsidP="005C5CCD">
      <w:pPr>
        <w:pStyle w:val="Default"/>
        <w:rPr>
          <w:rFonts w:ascii="Times New Roman" w:hAnsi="Times New Roman" w:cs="Times New Roman"/>
          <w:b/>
          <w:i/>
          <w:color w:val="auto"/>
          <w:sz w:val="23"/>
          <w:szCs w:val="23"/>
        </w:rPr>
      </w:pPr>
      <w:r w:rsidRPr="00682B94">
        <w:rPr>
          <w:rFonts w:ascii="Times New Roman" w:hAnsi="Times New Roman" w:cs="Times New Roman"/>
          <w:b/>
          <w:i/>
          <w:color w:val="auto"/>
          <w:sz w:val="23"/>
          <w:szCs w:val="23"/>
        </w:rPr>
        <w:t>A Governor’s Council Proposal</w:t>
      </w:r>
    </w:p>
    <w:p w:rsidR="00F50C3B" w:rsidRPr="00682B94" w:rsidRDefault="00F50C3B" w:rsidP="005C5CCD">
      <w:pPr>
        <w:pStyle w:val="Default"/>
        <w:rPr>
          <w:rFonts w:ascii="Times New Roman" w:hAnsi="Times New Roman" w:cs="Times New Roman"/>
          <w:b/>
          <w:i/>
          <w:color w:val="auto"/>
          <w:sz w:val="23"/>
          <w:szCs w:val="23"/>
        </w:rPr>
      </w:pPr>
    </w:p>
    <w:p w:rsidR="00F50C3B" w:rsidRPr="00682B94" w:rsidRDefault="00A060DA" w:rsidP="005C5CCD">
      <w:pPr>
        <w:pStyle w:val="Default"/>
        <w:rPr>
          <w:rFonts w:ascii="Times New Roman" w:hAnsi="Times New Roman" w:cs="Times New Roman"/>
          <w:b/>
          <w:i/>
          <w:color w:val="auto"/>
          <w:sz w:val="23"/>
          <w:szCs w:val="23"/>
        </w:rPr>
      </w:pPr>
      <w:r w:rsidRPr="00682B94">
        <w:rPr>
          <w:rFonts w:ascii="Times New Roman" w:hAnsi="Times New Roman" w:cs="Times New Roman"/>
          <w:b/>
          <w:i/>
          <w:color w:val="auto"/>
          <w:sz w:val="23"/>
          <w:szCs w:val="23"/>
        </w:rPr>
        <w:t>The Prevention Advisory Committee requests that the Council on Behavioral Healthcare host a</w:t>
      </w:r>
      <w:r w:rsidR="00F50C3B" w:rsidRPr="00682B94">
        <w:rPr>
          <w:rFonts w:ascii="Times New Roman" w:hAnsi="Times New Roman" w:cs="Times New Roman"/>
          <w:b/>
          <w:i/>
          <w:color w:val="auto"/>
          <w:sz w:val="23"/>
          <w:szCs w:val="23"/>
        </w:rPr>
        <w:t xml:space="preserve"> presentation to the legislature by Kathryn Power, Regiona</w:t>
      </w:r>
      <w:r w:rsidRPr="00682B94">
        <w:rPr>
          <w:rFonts w:ascii="Times New Roman" w:hAnsi="Times New Roman" w:cs="Times New Roman"/>
          <w:b/>
          <w:i/>
          <w:color w:val="auto"/>
          <w:sz w:val="23"/>
          <w:szCs w:val="23"/>
        </w:rPr>
        <w:t xml:space="preserve">l Administrator for SAMHSA, </w:t>
      </w:r>
      <w:r w:rsidR="00F50C3B" w:rsidRPr="00682B94">
        <w:rPr>
          <w:rFonts w:ascii="Times New Roman" w:hAnsi="Times New Roman" w:cs="Times New Roman"/>
          <w:b/>
          <w:i/>
          <w:color w:val="auto"/>
          <w:sz w:val="23"/>
          <w:szCs w:val="23"/>
        </w:rPr>
        <w:t xml:space="preserve">a Rhode Island resident and </w:t>
      </w:r>
      <w:r w:rsidRPr="00682B94">
        <w:rPr>
          <w:rFonts w:ascii="Times New Roman" w:hAnsi="Times New Roman" w:cs="Times New Roman"/>
          <w:b/>
          <w:i/>
          <w:color w:val="auto"/>
          <w:sz w:val="23"/>
          <w:szCs w:val="23"/>
        </w:rPr>
        <w:t xml:space="preserve">the </w:t>
      </w:r>
      <w:r w:rsidR="00F50C3B" w:rsidRPr="00682B94">
        <w:rPr>
          <w:rFonts w:ascii="Times New Roman" w:hAnsi="Times New Roman" w:cs="Times New Roman"/>
          <w:b/>
          <w:i/>
          <w:color w:val="auto"/>
          <w:sz w:val="23"/>
          <w:szCs w:val="23"/>
        </w:rPr>
        <w:t>former director of the Department of MHRH. Her charge would be to highlight the critical nature of substance use disorders in RI and to advocate for a s</w:t>
      </w:r>
      <w:r w:rsidRPr="00682B94">
        <w:rPr>
          <w:rFonts w:ascii="Times New Roman" w:hAnsi="Times New Roman" w:cs="Times New Roman"/>
          <w:b/>
          <w:i/>
          <w:color w:val="auto"/>
          <w:sz w:val="23"/>
          <w:szCs w:val="23"/>
        </w:rPr>
        <w:t>trong financial</w:t>
      </w:r>
      <w:r w:rsidR="00F50C3B" w:rsidRPr="00682B94">
        <w:rPr>
          <w:rFonts w:ascii="Times New Roman" w:hAnsi="Times New Roman" w:cs="Times New Roman"/>
          <w:b/>
          <w:i/>
          <w:color w:val="auto"/>
          <w:sz w:val="23"/>
          <w:szCs w:val="23"/>
        </w:rPr>
        <w:t xml:space="preserve"> commitment </w:t>
      </w:r>
      <w:r w:rsidRPr="00682B94">
        <w:rPr>
          <w:rFonts w:ascii="Times New Roman" w:hAnsi="Times New Roman" w:cs="Times New Roman"/>
          <w:b/>
          <w:i/>
          <w:color w:val="auto"/>
          <w:sz w:val="23"/>
          <w:szCs w:val="23"/>
        </w:rPr>
        <w:t xml:space="preserve">of the legislature </w:t>
      </w:r>
      <w:r w:rsidR="00F50C3B" w:rsidRPr="00682B94">
        <w:rPr>
          <w:rFonts w:ascii="Times New Roman" w:hAnsi="Times New Roman" w:cs="Times New Roman"/>
          <w:b/>
          <w:i/>
          <w:color w:val="auto"/>
          <w:sz w:val="23"/>
          <w:szCs w:val="23"/>
        </w:rPr>
        <w:t>t</w:t>
      </w:r>
      <w:r w:rsidRPr="00682B94">
        <w:rPr>
          <w:rFonts w:ascii="Times New Roman" w:hAnsi="Times New Roman" w:cs="Times New Roman"/>
          <w:b/>
          <w:i/>
          <w:color w:val="auto"/>
          <w:sz w:val="23"/>
          <w:szCs w:val="23"/>
        </w:rPr>
        <w:t xml:space="preserve">o substance services: </w:t>
      </w:r>
      <w:r w:rsidR="00F50C3B" w:rsidRPr="00682B94">
        <w:rPr>
          <w:rFonts w:ascii="Times New Roman" w:hAnsi="Times New Roman" w:cs="Times New Roman"/>
          <w:b/>
          <w:i/>
          <w:color w:val="auto"/>
          <w:sz w:val="23"/>
          <w:szCs w:val="23"/>
        </w:rPr>
        <w:t>prevention, treatment and recovery support.</w:t>
      </w:r>
    </w:p>
    <w:p w:rsidR="00F83D04" w:rsidRPr="00682B94" w:rsidRDefault="00F83D04" w:rsidP="005C5CCD">
      <w:pPr>
        <w:shd w:val="clear" w:color="auto" w:fill="FFFFFF"/>
        <w:spacing w:after="528" w:line="240" w:lineRule="auto"/>
        <w:textAlignment w:val="baseline"/>
        <w:rPr>
          <w:rFonts w:ascii="Times New Roman" w:eastAsia="Times New Roman" w:hAnsi="Times New Roman" w:cs="Times New Roman"/>
          <w:b/>
          <w:i/>
          <w:sz w:val="24"/>
          <w:szCs w:val="24"/>
        </w:rPr>
      </w:pPr>
    </w:p>
    <w:p w:rsidR="006C6833" w:rsidRDefault="00335628" w:rsidP="006C6833">
      <w:pPr>
        <w:shd w:val="clear" w:color="auto" w:fill="FFFFFF"/>
        <w:spacing w:after="360" w:line="336" w:lineRule="atLeast"/>
        <w:textAlignment w:val="baseline"/>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Rhode Island D</w:t>
      </w:r>
      <w:r w:rsidR="00646BAD" w:rsidRPr="00646BAD">
        <w:rPr>
          <w:rFonts w:ascii="Times New Roman" w:eastAsia="Times New Roman" w:hAnsi="Times New Roman" w:cs="Times New Roman"/>
          <w:b/>
          <w:color w:val="444444"/>
          <w:sz w:val="24"/>
          <w:szCs w:val="24"/>
        </w:rPr>
        <w:t>ata:</w:t>
      </w:r>
    </w:p>
    <w:p w:rsidR="00335628" w:rsidRDefault="00335628" w:rsidP="006C6833">
      <w:pPr>
        <w:shd w:val="clear" w:color="auto" w:fill="FFFFFF"/>
        <w:spacing w:after="360" w:line="336" w:lineRule="atLeast"/>
        <w:textAlignment w:val="baseline"/>
        <w:rPr>
          <w:rFonts w:ascii="Times New Roman" w:eastAsia="Times New Roman" w:hAnsi="Times New Roman" w:cs="Times New Roman"/>
          <w:color w:val="444444"/>
          <w:sz w:val="24"/>
          <w:szCs w:val="24"/>
        </w:rPr>
      </w:pPr>
      <w:r w:rsidRPr="00577725">
        <w:rPr>
          <w:rFonts w:ascii="Times New Roman" w:eastAsia="Times New Roman" w:hAnsi="Times New Roman" w:cs="Times New Roman"/>
          <w:color w:val="444444"/>
          <w:sz w:val="24"/>
          <w:szCs w:val="24"/>
        </w:rPr>
        <w:t xml:space="preserve">The following data testifies to the success of recent substance abuse prevention efforts. The charts below clearly indicate that for youth in grades 9-12, our efforts to reduce past month alcohol use, binge drinking, </w:t>
      </w:r>
      <w:r w:rsidR="00577725" w:rsidRPr="00577725">
        <w:rPr>
          <w:rFonts w:ascii="Times New Roman" w:eastAsia="Times New Roman" w:hAnsi="Times New Roman" w:cs="Times New Roman"/>
          <w:color w:val="444444"/>
          <w:sz w:val="24"/>
          <w:szCs w:val="24"/>
        </w:rPr>
        <w:t>initial first use of alcohol and marijuana, past month drinking and driving as well as tobacco use has significantly decreased and decreased more than the US as a whole. However, there is still more work to be done. Marijuana use past month is still higher than the national average. In addition, we know from research that these gains will erode unless our current prevention strategies are sustained and even increased based on the current changes in perceptions of the harm of marijuana and prescription drug use in this country.</w:t>
      </w:r>
    </w:p>
    <w:p w:rsidR="00646BAD" w:rsidRPr="008606D5" w:rsidRDefault="00646BAD" w:rsidP="00646BAD">
      <w:pPr>
        <w:rPr>
          <w:rFonts w:ascii="Calibri" w:hAnsi="Calibri" w:cs="Arial"/>
          <w:b/>
          <w:color w:val="1F497D"/>
          <w:sz w:val="28"/>
          <w:szCs w:val="28"/>
        </w:rPr>
      </w:pPr>
      <w:r>
        <w:rPr>
          <w:rFonts w:ascii="Calibri" w:hAnsi="Calibri" w:cs="Arial"/>
          <w:b/>
          <w:color w:val="1F497D"/>
          <w:sz w:val="28"/>
          <w:szCs w:val="28"/>
        </w:rPr>
        <w:lastRenderedPageBreak/>
        <w:t>RI vs. US comparison</w:t>
      </w:r>
      <w:r w:rsidRPr="00822894">
        <w:rPr>
          <w:rFonts w:ascii="Calibri" w:hAnsi="Calibri" w:cs="Arial"/>
          <w:b/>
          <w:color w:val="1F497D"/>
          <w:sz w:val="28"/>
          <w:szCs w:val="28"/>
        </w:rPr>
        <w:t xml:space="preserve"> on nine key Consumption Indicators for </w:t>
      </w:r>
      <w:r>
        <w:rPr>
          <w:rFonts w:ascii="Calibri" w:hAnsi="Calibri" w:cs="Arial"/>
          <w:b/>
          <w:color w:val="1F497D"/>
          <w:sz w:val="28"/>
          <w:szCs w:val="28"/>
        </w:rPr>
        <w:t>unde</w:t>
      </w:r>
      <w:r w:rsidR="00932CAA">
        <w:rPr>
          <w:rFonts w:ascii="Calibri" w:hAnsi="Calibri" w:cs="Arial"/>
          <w:b/>
          <w:color w:val="1F497D"/>
          <w:sz w:val="28"/>
          <w:szCs w:val="28"/>
        </w:rPr>
        <w:t>rage population (&lt;18), 2001-2013</w:t>
      </w:r>
    </w:p>
    <w:tbl>
      <w:tblPr>
        <w:tblW w:w="12705" w:type="dxa"/>
        <w:tblInd w:w="93" w:type="dxa"/>
        <w:tblLook w:val="04A0" w:firstRow="1" w:lastRow="0" w:firstColumn="1" w:lastColumn="0" w:noHBand="0" w:noVBand="1"/>
      </w:tblPr>
      <w:tblGrid>
        <w:gridCol w:w="1220"/>
        <w:gridCol w:w="960"/>
        <w:gridCol w:w="960"/>
        <w:gridCol w:w="960"/>
        <w:gridCol w:w="974"/>
        <w:gridCol w:w="973"/>
        <w:gridCol w:w="784"/>
        <w:gridCol w:w="952"/>
        <w:gridCol w:w="953"/>
        <w:gridCol w:w="947"/>
        <w:gridCol w:w="953"/>
        <w:gridCol w:w="953"/>
        <w:gridCol w:w="1116"/>
      </w:tblGrid>
      <w:tr w:rsidR="00932CAA" w:rsidRPr="00932CAA" w:rsidTr="00C8487E">
        <w:trPr>
          <w:trHeight w:hRule="exact" w:val="1365"/>
          <w:tblHeader/>
        </w:trPr>
        <w:tc>
          <w:tcPr>
            <w:tcW w:w="1220" w:type="dxa"/>
            <w:vMerge w:val="restart"/>
            <w:tcBorders>
              <w:top w:val="single" w:sz="8" w:space="0" w:color="FFFFFF"/>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mbria" w:eastAsia="Times New Roman" w:hAnsi="Cambria" w:cs="Times New Roman"/>
                <w:b/>
                <w:bCs/>
                <w:color w:val="FFFFFF"/>
                <w:sz w:val="20"/>
                <w:szCs w:val="20"/>
              </w:rPr>
            </w:pPr>
            <w:r w:rsidRPr="00932CAA">
              <w:rPr>
                <w:rFonts w:ascii="Cambria" w:eastAsia="Times New Roman" w:hAnsi="Cambria" w:cs="Times New Roman"/>
                <w:b/>
                <w:bCs/>
                <w:color w:val="FFFFFF"/>
                <w:sz w:val="20"/>
                <w:szCs w:val="20"/>
              </w:rPr>
              <w:t>% of Students (grades 9-12) Reporting:</w:t>
            </w:r>
          </w:p>
        </w:tc>
        <w:tc>
          <w:tcPr>
            <w:tcW w:w="2880" w:type="dxa"/>
            <w:gridSpan w:val="3"/>
            <w:tcBorders>
              <w:top w:val="single" w:sz="8" w:space="0" w:color="FFFFFF"/>
              <w:left w:val="nil"/>
              <w:bottom w:val="single" w:sz="12"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2001</w:t>
            </w:r>
          </w:p>
        </w:tc>
        <w:tc>
          <w:tcPr>
            <w:tcW w:w="2731" w:type="dxa"/>
            <w:gridSpan w:val="3"/>
            <w:tcBorders>
              <w:top w:val="single" w:sz="8" w:space="0" w:color="FFFFFF"/>
              <w:left w:val="nil"/>
              <w:bottom w:val="single" w:sz="12"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2009</w:t>
            </w:r>
          </w:p>
        </w:tc>
        <w:tc>
          <w:tcPr>
            <w:tcW w:w="2852" w:type="dxa"/>
            <w:gridSpan w:val="3"/>
            <w:tcBorders>
              <w:top w:val="single" w:sz="8" w:space="0" w:color="FFFFFF"/>
              <w:left w:val="nil"/>
              <w:bottom w:val="single" w:sz="12"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2011</w:t>
            </w:r>
          </w:p>
        </w:tc>
        <w:tc>
          <w:tcPr>
            <w:tcW w:w="3022" w:type="dxa"/>
            <w:gridSpan w:val="3"/>
            <w:tcBorders>
              <w:top w:val="single" w:sz="8" w:space="0" w:color="FFFFFF"/>
              <w:left w:val="nil"/>
              <w:bottom w:val="single" w:sz="12"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2013</w:t>
            </w:r>
          </w:p>
        </w:tc>
      </w:tr>
      <w:tr w:rsidR="00932CAA" w:rsidRPr="00932CAA" w:rsidTr="00C8487E">
        <w:trPr>
          <w:trHeight w:val="315"/>
          <w:tblHeader/>
        </w:trPr>
        <w:tc>
          <w:tcPr>
            <w:tcW w:w="1220" w:type="dxa"/>
            <w:vMerge/>
            <w:tcBorders>
              <w:top w:val="single" w:sz="8" w:space="0" w:color="FFFFFF"/>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mbria" w:eastAsia="Times New Roman" w:hAnsi="Cambria" w:cs="Times New Roman"/>
                <w:b/>
                <w:bCs/>
                <w:color w:val="FFFFFF"/>
              </w:rPr>
            </w:pPr>
          </w:p>
        </w:tc>
        <w:tc>
          <w:tcPr>
            <w:tcW w:w="960" w:type="dxa"/>
            <w:vMerge w:val="restart"/>
            <w:tcBorders>
              <w:top w:val="nil"/>
              <w:left w:val="single" w:sz="8" w:space="0" w:color="FFFFFF"/>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w:t>
            </w:r>
          </w:p>
        </w:tc>
        <w:tc>
          <w:tcPr>
            <w:tcW w:w="960" w:type="dxa"/>
            <w:vMerge w:val="restart"/>
            <w:tcBorders>
              <w:top w:val="nil"/>
              <w:left w:val="single" w:sz="8" w:space="0" w:color="FFFFFF"/>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US</w:t>
            </w:r>
          </w:p>
        </w:tc>
        <w:tc>
          <w:tcPr>
            <w:tcW w:w="960" w:type="dxa"/>
            <w:tcBorders>
              <w:top w:val="nil"/>
              <w:left w:val="nil"/>
              <w:bottom w:val="nil"/>
              <w:right w:val="single" w:sz="12"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Ratio</w:t>
            </w:r>
          </w:p>
        </w:tc>
        <w:tc>
          <w:tcPr>
            <w:tcW w:w="974" w:type="dxa"/>
            <w:vMerge w:val="restart"/>
            <w:tcBorders>
              <w:top w:val="nil"/>
              <w:left w:val="single" w:sz="12" w:space="0" w:color="FFFFFF"/>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w:t>
            </w:r>
          </w:p>
        </w:tc>
        <w:tc>
          <w:tcPr>
            <w:tcW w:w="973" w:type="dxa"/>
            <w:vMerge w:val="restart"/>
            <w:tcBorders>
              <w:top w:val="nil"/>
              <w:left w:val="single" w:sz="8" w:space="0" w:color="FFFFFF"/>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US</w:t>
            </w:r>
          </w:p>
        </w:tc>
        <w:tc>
          <w:tcPr>
            <w:tcW w:w="784" w:type="dxa"/>
            <w:tcBorders>
              <w:top w:val="nil"/>
              <w:left w:val="nil"/>
              <w:bottom w:val="nil"/>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Ratio</w:t>
            </w:r>
          </w:p>
        </w:tc>
        <w:tc>
          <w:tcPr>
            <w:tcW w:w="952" w:type="dxa"/>
            <w:vMerge w:val="restart"/>
            <w:tcBorders>
              <w:top w:val="nil"/>
              <w:left w:val="single" w:sz="8" w:space="0" w:color="FFFFFF"/>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w:t>
            </w:r>
          </w:p>
        </w:tc>
        <w:tc>
          <w:tcPr>
            <w:tcW w:w="953" w:type="dxa"/>
            <w:vMerge w:val="restart"/>
            <w:tcBorders>
              <w:top w:val="nil"/>
              <w:left w:val="single" w:sz="8" w:space="0" w:color="FFFFFF"/>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US</w:t>
            </w:r>
          </w:p>
        </w:tc>
        <w:tc>
          <w:tcPr>
            <w:tcW w:w="947"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Ratio</w:t>
            </w:r>
          </w:p>
        </w:tc>
        <w:tc>
          <w:tcPr>
            <w:tcW w:w="953" w:type="dxa"/>
            <w:vMerge w:val="restart"/>
            <w:tcBorders>
              <w:top w:val="nil"/>
              <w:left w:val="single" w:sz="8" w:space="0" w:color="FFFFFF"/>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w:t>
            </w:r>
          </w:p>
        </w:tc>
        <w:tc>
          <w:tcPr>
            <w:tcW w:w="953" w:type="dxa"/>
            <w:vMerge w:val="restart"/>
            <w:tcBorders>
              <w:top w:val="nil"/>
              <w:left w:val="single" w:sz="8" w:space="0" w:color="FFFFFF"/>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US</w:t>
            </w:r>
          </w:p>
        </w:tc>
        <w:tc>
          <w:tcPr>
            <w:tcW w:w="1116"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Ratio</w:t>
            </w:r>
          </w:p>
        </w:tc>
      </w:tr>
      <w:tr w:rsidR="00932CAA" w:rsidRPr="00932CAA" w:rsidTr="00C8487E">
        <w:trPr>
          <w:trHeight w:val="315"/>
          <w:tblHeader/>
        </w:trPr>
        <w:tc>
          <w:tcPr>
            <w:tcW w:w="1220" w:type="dxa"/>
            <w:vMerge/>
            <w:tcBorders>
              <w:top w:val="single" w:sz="8" w:space="0" w:color="FFFFFF"/>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mbria" w:eastAsia="Times New Roman" w:hAnsi="Cambria" w:cs="Times New Roman"/>
                <w:b/>
                <w:bCs/>
                <w:color w:val="FFFFFF"/>
              </w:rPr>
            </w:pPr>
          </w:p>
        </w:tc>
        <w:tc>
          <w:tcPr>
            <w:tcW w:w="960"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60"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60" w:type="dxa"/>
            <w:tcBorders>
              <w:top w:val="nil"/>
              <w:left w:val="nil"/>
              <w:bottom w:val="single" w:sz="8" w:space="0" w:color="FFFFFF"/>
              <w:right w:val="single" w:sz="12"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RI/US</w:t>
            </w:r>
          </w:p>
        </w:tc>
        <w:tc>
          <w:tcPr>
            <w:tcW w:w="974" w:type="dxa"/>
            <w:vMerge/>
            <w:tcBorders>
              <w:top w:val="nil"/>
              <w:left w:val="single" w:sz="12"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73"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Times New Roman"/>
                <w:b/>
                <w:bCs/>
                <w:color w:val="000000"/>
                <w:sz w:val="20"/>
                <w:szCs w:val="20"/>
              </w:rPr>
              <w:t>RI/US</w:t>
            </w:r>
          </w:p>
        </w:tc>
        <w:tc>
          <w:tcPr>
            <w:tcW w:w="952"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53"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RI/US</w:t>
            </w:r>
          </w:p>
        </w:tc>
        <w:tc>
          <w:tcPr>
            <w:tcW w:w="953"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53"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RI/US</w:t>
            </w:r>
          </w:p>
        </w:tc>
      </w:tr>
      <w:tr w:rsidR="00932CAA" w:rsidRPr="00932CAA" w:rsidTr="00932CAA">
        <w:trPr>
          <w:trHeight w:hRule="exact" w:val="390"/>
        </w:trPr>
        <w:tc>
          <w:tcPr>
            <w:tcW w:w="12705" w:type="dxa"/>
            <w:gridSpan w:val="13"/>
            <w:tcBorders>
              <w:top w:val="single" w:sz="8" w:space="0" w:color="FFFFFF"/>
              <w:left w:val="single" w:sz="8" w:space="0" w:color="FFFFFF"/>
              <w:bottom w:val="nil"/>
              <w:right w:val="nil"/>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Alcohol use</w:t>
            </w:r>
          </w:p>
        </w:tc>
      </w:tr>
      <w:tr w:rsidR="00932CAA" w:rsidRPr="00932CAA" w:rsidTr="00932CAA">
        <w:trPr>
          <w:trHeight w:hRule="exact" w:val="78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Alcohol use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50.30%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47.00%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1.07</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34.00%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41.80%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0.81</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30.00%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38.70%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0.78</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30.90%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34.90%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0.88</w:t>
            </w:r>
          </w:p>
        </w:tc>
      </w:tr>
      <w:tr w:rsidR="00932CAA" w:rsidRPr="00932CAA" w:rsidTr="00932CAA">
        <w:trPr>
          <w:trHeight w:hRule="exact" w:val="1035"/>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Binge drinking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30.70%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29.90%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1.02</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18.70%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24.2 %</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0.77</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18.30%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21.90%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0.84</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15.30%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20.80%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0.74</w:t>
            </w:r>
          </w:p>
        </w:tc>
      </w:tr>
      <w:tr w:rsidR="00932CAA" w:rsidRPr="00932CAA" w:rsidTr="00932CAA">
        <w:trPr>
          <w:trHeight w:hRule="exact" w:val="1035"/>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Initial use of alcohol before age 13</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29.70%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29.10%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1.02</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15.80%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21.10%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0.75</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15.60%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20.50%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0.76</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13.50%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18.60%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0.73</w:t>
            </w:r>
          </w:p>
        </w:tc>
      </w:tr>
      <w:tr w:rsidR="00932CAA" w:rsidRPr="00932CAA" w:rsidTr="00932CAA">
        <w:trPr>
          <w:trHeight w:hRule="exact" w:val="129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Drinking and driving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15.50%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13.30%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1.16</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7.20%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9.70%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0.74</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6.50%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8.20%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0.79</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8.50%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10.00%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0.85</w:t>
            </w:r>
          </w:p>
        </w:tc>
      </w:tr>
      <w:tr w:rsidR="00932CAA" w:rsidRPr="00932CAA" w:rsidTr="009E50E0">
        <w:trPr>
          <w:trHeight w:hRule="exact" w:val="254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In car w/ driver who had been drinking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32.30%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30.70%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1.05</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23.10%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28.30%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0.82</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21.90%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24.10%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0.9</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20.10%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21.90%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0.92</w:t>
            </w:r>
          </w:p>
        </w:tc>
      </w:tr>
      <w:tr w:rsidR="00932CAA" w:rsidRPr="00932CAA" w:rsidTr="00932CAA">
        <w:trPr>
          <w:trHeight w:hRule="exact" w:val="390"/>
        </w:trPr>
        <w:tc>
          <w:tcPr>
            <w:tcW w:w="12705" w:type="dxa"/>
            <w:gridSpan w:val="13"/>
            <w:tcBorders>
              <w:top w:val="single" w:sz="8" w:space="0" w:color="FFFFFF"/>
              <w:left w:val="single" w:sz="8" w:space="0" w:color="FFFFFF"/>
              <w:bottom w:val="nil"/>
              <w:right w:val="nil"/>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lastRenderedPageBreak/>
              <w:t>Cigarette use</w:t>
            </w:r>
          </w:p>
        </w:tc>
      </w:tr>
      <w:tr w:rsidR="00932CAA" w:rsidRPr="00932CAA" w:rsidTr="00932CAA">
        <w:trPr>
          <w:trHeight w:hRule="exact" w:val="129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Smoking cigarettes 20 + days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14.20%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13.80%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1.03</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5.40%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7.30%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0.74</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4.40%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6.40%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0.69</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3.10%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5.60%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0.55</w:t>
            </w:r>
          </w:p>
        </w:tc>
      </w:tr>
      <w:tr w:rsidR="00932CAA" w:rsidRPr="00932CAA" w:rsidTr="00932CAA">
        <w:trPr>
          <w:trHeight w:hRule="exact" w:val="1035"/>
        </w:trPr>
        <w:tc>
          <w:tcPr>
            <w:tcW w:w="1220" w:type="dxa"/>
            <w:tcBorders>
              <w:top w:val="nil"/>
              <w:left w:val="single" w:sz="8" w:space="0" w:color="FFFFFF"/>
              <w:bottom w:val="nil"/>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Initial use of tobacco before age 13</w:t>
            </w:r>
          </w:p>
        </w:tc>
        <w:tc>
          <w:tcPr>
            <w:tcW w:w="960"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22.30%</w:t>
            </w:r>
          </w:p>
        </w:tc>
        <w:tc>
          <w:tcPr>
            <w:tcW w:w="960"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22.10%</w:t>
            </w:r>
          </w:p>
        </w:tc>
        <w:tc>
          <w:tcPr>
            <w:tcW w:w="960"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1.01</w:t>
            </w:r>
          </w:p>
        </w:tc>
        <w:tc>
          <w:tcPr>
            <w:tcW w:w="974" w:type="dxa"/>
            <w:tcBorders>
              <w:top w:val="nil"/>
              <w:left w:val="nil"/>
              <w:bottom w:val="nil"/>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8.40%</w:t>
            </w:r>
          </w:p>
        </w:tc>
        <w:tc>
          <w:tcPr>
            <w:tcW w:w="973" w:type="dxa"/>
            <w:tcBorders>
              <w:top w:val="nil"/>
              <w:left w:val="nil"/>
              <w:bottom w:val="nil"/>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10.70%</w:t>
            </w:r>
          </w:p>
        </w:tc>
        <w:tc>
          <w:tcPr>
            <w:tcW w:w="784" w:type="dxa"/>
            <w:tcBorders>
              <w:top w:val="nil"/>
              <w:left w:val="nil"/>
              <w:bottom w:val="nil"/>
              <w:right w:val="single" w:sz="8" w:space="0" w:color="FFFFFF"/>
            </w:tcBorders>
            <w:shd w:val="clear" w:color="000000" w:fill="FFFFFF"/>
            <w:noWrap/>
            <w:vAlign w:val="center"/>
            <w:hideMark/>
          </w:tcPr>
          <w:p w:rsidR="00932CAA" w:rsidRPr="00932CAA" w:rsidRDefault="00932CAA" w:rsidP="00932CAA">
            <w:pPr>
              <w:spacing w:after="0" w:line="240" w:lineRule="auto"/>
              <w:jc w:val="right"/>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0.79</w:t>
            </w:r>
          </w:p>
        </w:tc>
        <w:tc>
          <w:tcPr>
            <w:tcW w:w="952"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7.10%</w:t>
            </w:r>
          </w:p>
        </w:tc>
        <w:tc>
          <w:tcPr>
            <w:tcW w:w="953"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10.30%</w:t>
            </w:r>
          </w:p>
        </w:tc>
        <w:tc>
          <w:tcPr>
            <w:tcW w:w="947"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0.69</w:t>
            </w:r>
          </w:p>
        </w:tc>
        <w:tc>
          <w:tcPr>
            <w:tcW w:w="953"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5.60%</w:t>
            </w:r>
          </w:p>
        </w:tc>
        <w:tc>
          <w:tcPr>
            <w:tcW w:w="953"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9.30%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0.60</w:t>
            </w:r>
          </w:p>
        </w:tc>
      </w:tr>
      <w:tr w:rsidR="00932CAA" w:rsidRPr="00932CAA" w:rsidTr="00932CAA">
        <w:trPr>
          <w:trHeight w:hRule="exact" w:val="390"/>
        </w:trPr>
        <w:tc>
          <w:tcPr>
            <w:tcW w:w="12705" w:type="dxa"/>
            <w:gridSpan w:val="13"/>
            <w:tcBorders>
              <w:top w:val="nil"/>
              <w:left w:val="single" w:sz="8" w:space="0" w:color="FFFFFF"/>
              <w:bottom w:val="nil"/>
              <w:right w:val="nil"/>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Marijuana use</w:t>
            </w:r>
          </w:p>
        </w:tc>
      </w:tr>
      <w:tr w:rsidR="00932CAA" w:rsidRPr="00932CAA" w:rsidTr="00932CAA">
        <w:trPr>
          <w:trHeight w:hRule="exact" w:val="1035"/>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Using marijuana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33.20%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23.90%</w:t>
            </w:r>
          </w:p>
        </w:tc>
        <w:tc>
          <w:tcPr>
            <w:tcW w:w="960"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1.38</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26.30%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20.80%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800000"/>
                <w:sz w:val="20"/>
                <w:szCs w:val="20"/>
              </w:rPr>
            </w:pPr>
            <w:r w:rsidRPr="00932CAA">
              <w:rPr>
                <w:rFonts w:ascii="Calibri" w:eastAsia="Times New Roman" w:hAnsi="Calibri" w:cs="Arial"/>
                <w:b/>
                <w:bCs/>
                <w:color w:val="800000"/>
                <w:sz w:val="20"/>
                <w:szCs w:val="20"/>
              </w:rPr>
              <w:t>1.26</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26.30%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21.30%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1.23</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23.90%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23.40%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Times New Roman"/>
                <w:b/>
                <w:bCs/>
                <w:color w:val="FF0000"/>
                <w:sz w:val="20"/>
                <w:szCs w:val="20"/>
              </w:rPr>
              <w:t>1.02</w:t>
            </w:r>
          </w:p>
        </w:tc>
      </w:tr>
      <w:tr w:rsidR="00932CAA" w:rsidRPr="00932CAA" w:rsidTr="00932CAA">
        <w:trPr>
          <w:trHeight w:hRule="exact" w:val="129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Initial use of marijuana before age 13</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12.80%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10.20%</w:t>
            </w:r>
          </w:p>
        </w:tc>
        <w:tc>
          <w:tcPr>
            <w:tcW w:w="960"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1.25</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8.30%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7.50%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800000"/>
                <w:sz w:val="20"/>
                <w:szCs w:val="20"/>
              </w:rPr>
            </w:pPr>
            <w:r w:rsidRPr="00932CAA">
              <w:rPr>
                <w:rFonts w:ascii="Calibri" w:eastAsia="Times New Roman" w:hAnsi="Calibri" w:cs="Arial"/>
                <w:b/>
                <w:bCs/>
                <w:color w:val="800000"/>
                <w:sz w:val="20"/>
                <w:szCs w:val="20"/>
              </w:rPr>
              <w:t>1.11</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7.10%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8.10%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0.87</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6.80%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8.60%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0.79</w:t>
            </w:r>
          </w:p>
        </w:tc>
      </w:tr>
      <w:tr w:rsidR="00932CAA" w:rsidRPr="00932CAA" w:rsidTr="00932CAA">
        <w:trPr>
          <w:trHeight w:hRule="exact" w:val="390"/>
        </w:trPr>
        <w:tc>
          <w:tcPr>
            <w:tcW w:w="12705" w:type="dxa"/>
            <w:gridSpan w:val="13"/>
            <w:tcBorders>
              <w:top w:val="nil"/>
              <w:left w:val="single" w:sz="8" w:space="0" w:color="FFFFFF"/>
              <w:bottom w:val="nil"/>
              <w:right w:val="nil"/>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Prescription drug</w:t>
            </w:r>
          </w:p>
        </w:tc>
      </w:tr>
      <w:tr w:rsidR="00932CAA" w:rsidRPr="00932CAA" w:rsidTr="00932CAA">
        <w:trPr>
          <w:trHeight w:hRule="exact" w:val="1020"/>
        </w:trPr>
        <w:tc>
          <w:tcPr>
            <w:tcW w:w="1220" w:type="dxa"/>
            <w:tcBorders>
              <w:top w:val="nil"/>
              <w:left w:val="single" w:sz="8" w:space="0" w:color="FFFFFF"/>
              <w:bottom w:val="nil"/>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Ever prescription drug misuse</w:t>
            </w:r>
          </w:p>
        </w:tc>
        <w:tc>
          <w:tcPr>
            <w:tcW w:w="960"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w:t>
            </w:r>
          </w:p>
        </w:tc>
        <w:tc>
          <w:tcPr>
            <w:tcW w:w="960"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w:t>
            </w:r>
          </w:p>
        </w:tc>
        <w:tc>
          <w:tcPr>
            <w:tcW w:w="960" w:type="dxa"/>
            <w:tcBorders>
              <w:top w:val="nil"/>
              <w:left w:val="nil"/>
              <w:bottom w:val="nil"/>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w:t>
            </w:r>
          </w:p>
        </w:tc>
        <w:tc>
          <w:tcPr>
            <w:tcW w:w="974" w:type="dxa"/>
            <w:tcBorders>
              <w:top w:val="nil"/>
              <w:left w:val="nil"/>
              <w:bottom w:val="nil"/>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w:t>
            </w:r>
          </w:p>
        </w:tc>
        <w:tc>
          <w:tcPr>
            <w:tcW w:w="973" w:type="dxa"/>
            <w:tcBorders>
              <w:top w:val="nil"/>
              <w:left w:val="nil"/>
              <w:bottom w:val="nil"/>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w:t>
            </w:r>
          </w:p>
        </w:tc>
        <w:tc>
          <w:tcPr>
            <w:tcW w:w="784" w:type="dxa"/>
            <w:tcBorders>
              <w:top w:val="nil"/>
              <w:left w:val="nil"/>
              <w:bottom w:val="nil"/>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800000"/>
                <w:sz w:val="20"/>
                <w:szCs w:val="20"/>
              </w:rPr>
            </w:pPr>
            <w:r w:rsidRPr="00932CAA">
              <w:rPr>
                <w:rFonts w:ascii="Calibri" w:eastAsia="Times New Roman" w:hAnsi="Calibri" w:cs="Arial"/>
                <w:b/>
                <w:bCs/>
                <w:color w:val="800000"/>
                <w:sz w:val="20"/>
                <w:szCs w:val="20"/>
              </w:rPr>
              <w:t>--</w:t>
            </w:r>
          </w:p>
        </w:tc>
        <w:tc>
          <w:tcPr>
            <w:tcW w:w="952"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14.10%</w:t>
            </w:r>
          </w:p>
        </w:tc>
        <w:tc>
          <w:tcPr>
            <w:tcW w:w="953"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20.70%</w:t>
            </w:r>
          </w:p>
        </w:tc>
        <w:tc>
          <w:tcPr>
            <w:tcW w:w="947"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0.68</w:t>
            </w:r>
          </w:p>
        </w:tc>
        <w:tc>
          <w:tcPr>
            <w:tcW w:w="953"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13.50%</w:t>
            </w:r>
          </w:p>
        </w:tc>
        <w:tc>
          <w:tcPr>
            <w:tcW w:w="953"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17.80%</w:t>
            </w:r>
          </w:p>
        </w:tc>
        <w:tc>
          <w:tcPr>
            <w:tcW w:w="1116"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0.76</w:t>
            </w:r>
          </w:p>
        </w:tc>
      </w:tr>
    </w:tbl>
    <w:p w:rsidR="00C8487E" w:rsidRDefault="00C8487E" w:rsidP="00646BAD">
      <w:pPr>
        <w:rPr>
          <w:rFonts w:ascii="Calibri" w:hAnsi="Calibri" w:cs="Arial"/>
          <w:b/>
          <w:color w:val="1F497D"/>
          <w:sz w:val="28"/>
          <w:szCs w:val="28"/>
        </w:rPr>
      </w:pPr>
    </w:p>
    <w:p w:rsidR="00C8487E" w:rsidRDefault="00C8487E" w:rsidP="00646BAD">
      <w:pPr>
        <w:rPr>
          <w:rFonts w:ascii="Calibri" w:hAnsi="Calibri" w:cs="Arial"/>
          <w:b/>
          <w:color w:val="1F497D"/>
          <w:sz w:val="28"/>
          <w:szCs w:val="28"/>
        </w:rPr>
      </w:pPr>
    </w:p>
    <w:p w:rsidR="00646BAD" w:rsidRPr="008606D5" w:rsidRDefault="00646BAD" w:rsidP="00646BAD">
      <w:pPr>
        <w:rPr>
          <w:rFonts w:ascii="Calibri" w:hAnsi="Calibri" w:cs="Arial"/>
          <w:b/>
          <w:color w:val="1F497D"/>
          <w:sz w:val="28"/>
          <w:szCs w:val="28"/>
        </w:rPr>
      </w:pPr>
      <w:r>
        <w:rPr>
          <w:rFonts w:ascii="Calibri" w:hAnsi="Calibri" w:cs="Arial"/>
          <w:b/>
          <w:color w:val="1F497D"/>
          <w:sz w:val="28"/>
          <w:szCs w:val="28"/>
        </w:rPr>
        <w:lastRenderedPageBreak/>
        <w:t>RI vs. Region comparison</w:t>
      </w:r>
      <w:r w:rsidRPr="00822894">
        <w:rPr>
          <w:rFonts w:ascii="Calibri" w:hAnsi="Calibri" w:cs="Arial"/>
          <w:b/>
          <w:color w:val="1F497D"/>
          <w:sz w:val="28"/>
          <w:szCs w:val="28"/>
        </w:rPr>
        <w:t xml:space="preserve"> on </w:t>
      </w:r>
      <w:r>
        <w:rPr>
          <w:rFonts w:ascii="Calibri" w:hAnsi="Calibri" w:cs="Arial"/>
          <w:b/>
          <w:color w:val="1F497D"/>
          <w:sz w:val="28"/>
          <w:szCs w:val="28"/>
        </w:rPr>
        <w:t>Alcohol</w:t>
      </w:r>
      <w:r w:rsidRPr="00822894">
        <w:rPr>
          <w:rFonts w:ascii="Calibri" w:hAnsi="Calibri" w:cs="Arial"/>
          <w:b/>
          <w:color w:val="1F497D"/>
          <w:sz w:val="28"/>
          <w:szCs w:val="28"/>
        </w:rPr>
        <w:t xml:space="preserve"> Consumption Indicators for</w:t>
      </w:r>
      <w:r>
        <w:rPr>
          <w:rFonts w:ascii="Calibri" w:hAnsi="Calibri" w:cs="Arial"/>
          <w:b/>
          <w:color w:val="1F497D"/>
          <w:sz w:val="28"/>
          <w:szCs w:val="28"/>
        </w:rPr>
        <w:t xml:space="preserve"> unde</w:t>
      </w:r>
      <w:r w:rsidR="003818FB">
        <w:rPr>
          <w:rFonts w:ascii="Calibri" w:hAnsi="Calibri" w:cs="Arial"/>
          <w:b/>
          <w:color w:val="1F497D"/>
          <w:sz w:val="28"/>
          <w:szCs w:val="28"/>
        </w:rPr>
        <w:t>rage population (&lt;18), 2001-2013</w:t>
      </w:r>
    </w:p>
    <w:tbl>
      <w:tblPr>
        <w:tblW w:w="10560" w:type="dxa"/>
        <w:tblInd w:w="93" w:type="dxa"/>
        <w:tblLook w:val="04A0" w:firstRow="1" w:lastRow="0" w:firstColumn="1" w:lastColumn="0" w:noHBand="0" w:noVBand="1"/>
      </w:tblPr>
      <w:tblGrid>
        <w:gridCol w:w="785"/>
        <w:gridCol w:w="1075"/>
        <w:gridCol w:w="1147"/>
        <w:gridCol w:w="1011"/>
        <w:gridCol w:w="1011"/>
        <w:gridCol w:w="1011"/>
        <w:gridCol w:w="1011"/>
        <w:gridCol w:w="1011"/>
        <w:gridCol w:w="1011"/>
        <w:gridCol w:w="1011"/>
        <w:gridCol w:w="1011"/>
      </w:tblGrid>
      <w:tr w:rsidR="003818FB" w:rsidRPr="003818FB" w:rsidTr="003818FB">
        <w:trPr>
          <w:trHeight w:hRule="exact" w:val="330"/>
        </w:trPr>
        <w:tc>
          <w:tcPr>
            <w:tcW w:w="854" w:type="dxa"/>
            <w:tcBorders>
              <w:top w:val="single" w:sz="8" w:space="0" w:color="4F81BD"/>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39"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USA</w:t>
            </w:r>
          </w:p>
        </w:tc>
        <w:tc>
          <w:tcPr>
            <w:tcW w:w="1399"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rPr>
            </w:pPr>
            <w:r w:rsidRPr="003818FB">
              <w:rPr>
                <w:rFonts w:ascii="Cambria" w:eastAsia="Times New Roman" w:hAnsi="Cambria" w:cs="Times New Roman"/>
                <w:b/>
                <w:bCs/>
                <w:color w:val="FFFFFF"/>
              </w:rPr>
              <w:t>RI</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CT</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MA</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ME</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NH</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NJ</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NY</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PA</w:t>
            </w:r>
          </w:p>
        </w:tc>
        <w:tc>
          <w:tcPr>
            <w:tcW w:w="921" w:type="dxa"/>
            <w:tcBorders>
              <w:top w:val="single" w:sz="8" w:space="0" w:color="4F81BD"/>
              <w:left w:val="nil"/>
              <w:bottom w:val="nil"/>
              <w:right w:val="single" w:sz="8" w:space="0" w:color="4F81BD"/>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VT</w:t>
            </w:r>
          </w:p>
        </w:tc>
      </w:tr>
      <w:tr w:rsidR="003818FB" w:rsidRPr="003818FB" w:rsidTr="003818FB">
        <w:trPr>
          <w:trHeight w:hRule="exac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706" w:type="dxa"/>
            <w:gridSpan w:val="10"/>
            <w:tcBorders>
              <w:top w:val="nil"/>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Cambria" w:eastAsia="Times New Roman" w:hAnsi="Cambria" w:cs="Times New Roman"/>
                <w:color w:val="FFFFFF"/>
                <w:sz w:val="24"/>
                <w:szCs w:val="24"/>
              </w:rPr>
            </w:pPr>
            <w:r w:rsidRPr="003818FB">
              <w:rPr>
                <w:rFonts w:ascii="Cambria" w:eastAsia="Times New Roman" w:hAnsi="Cambria" w:cs="Times New Roman"/>
                <w:color w:val="FFFFFF"/>
                <w:sz w:val="24"/>
                <w:szCs w:val="24"/>
              </w:rPr>
              <w:t>Binge drinking (5+ drinks in one sitting) past month</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29.90%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30.70%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32.70%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31.50%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32.60%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29.00%</w:t>
            </w:r>
          </w:p>
        </w:tc>
      </w:tr>
      <w:tr w:rsidR="003818FB" w:rsidRPr="003818FB" w:rsidTr="003818FB">
        <w:trPr>
          <w:trHeight w:val="448"/>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24.20%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18.7%</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24.20%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24.50%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26.70%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23.80%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21.90%</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23.10%</w:t>
            </w:r>
          </w:p>
        </w:tc>
      </w:tr>
      <w:tr w:rsidR="003818FB" w:rsidRPr="003818FB" w:rsidTr="003818FB">
        <w:trPr>
          <w:trHeight w:val="511"/>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21.90%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18.3%</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22.30%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22.20%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16.20%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23.80%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22.00%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20.90%</w:t>
            </w:r>
          </w:p>
        </w:tc>
      </w:tr>
      <w:tr w:rsidR="003818FB" w:rsidRPr="003818FB" w:rsidTr="003818FB">
        <w:trPr>
          <w:trHeight w:val="439"/>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39"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20.80%</w:t>
            </w:r>
          </w:p>
        </w:tc>
        <w:tc>
          <w:tcPr>
            <w:tcW w:w="1399"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15.3%</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20.00%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18.90%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14.40%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17.30%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23.00%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18.40%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0070C0"/>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21.40%</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706" w:type="dxa"/>
            <w:gridSpan w:val="10"/>
            <w:tcBorders>
              <w:top w:val="single" w:sz="8" w:space="0" w:color="4F81BD"/>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Theme="majorHAnsi" w:eastAsia="Times New Roman" w:hAnsiTheme="majorHAnsi" w:cs="Times New Roman"/>
                <w:color w:val="FFFFFF"/>
                <w:sz w:val="24"/>
                <w:szCs w:val="24"/>
              </w:rPr>
            </w:pPr>
            <w:r w:rsidRPr="003818FB">
              <w:rPr>
                <w:rFonts w:asciiTheme="majorHAnsi" w:eastAsia="Times New Roman" w:hAnsiTheme="majorHAnsi" w:cs="Times New Roman"/>
                <w:color w:val="FFFFFF"/>
                <w:sz w:val="24"/>
                <w:szCs w:val="24"/>
              </w:rPr>
              <w:t>Initial use of alcohol before age 13</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29.10%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C00000"/>
                <w:sz w:val="24"/>
                <w:szCs w:val="24"/>
              </w:rPr>
            </w:pPr>
            <w:r w:rsidRPr="003818FB">
              <w:rPr>
                <w:rFonts w:asciiTheme="majorHAnsi" w:eastAsia="Times New Roman" w:hAnsiTheme="majorHAnsi" w:cs="Times New Roman"/>
                <w:b/>
                <w:bCs/>
                <w:color w:val="C00000"/>
                <w:sz w:val="24"/>
                <w:szCs w:val="24"/>
              </w:rPr>
              <w:t>29.70%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27.90%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32.50%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26.00%</w:t>
            </w:r>
          </w:p>
        </w:tc>
      </w:tr>
      <w:tr w:rsidR="003818FB" w:rsidRPr="003818FB" w:rsidTr="003818FB">
        <w:trPr>
          <w:trHeight w:val="457"/>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21.10%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15.8%</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17.60%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17.20%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20.30%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14.80%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18.00%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19.00%</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18.20%</w:t>
            </w:r>
          </w:p>
        </w:tc>
      </w:tr>
      <w:tr w:rsidR="003818FB" w:rsidRPr="003818FB" w:rsidTr="003818FB">
        <w:trPr>
          <w:trHeight w:val="502"/>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20.50%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15.6%</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15.60%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14.60%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15.80%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14.30%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14.40%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19.00%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14.80%</w:t>
            </w:r>
          </w:p>
        </w:tc>
      </w:tr>
      <w:tr w:rsidR="003818FB" w:rsidRPr="003818FB" w:rsidTr="003818FB">
        <w:trPr>
          <w:trHeight w:val="52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18.60%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13.5%</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14.90%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13.30%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11.90%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14.60%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16.20%</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706" w:type="dxa"/>
            <w:gridSpan w:val="10"/>
            <w:tcBorders>
              <w:top w:val="single" w:sz="8" w:space="0" w:color="4F81BD"/>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Theme="majorHAnsi" w:eastAsia="Times New Roman" w:hAnsiTheme="majorHAnsi" w:cs="Times New Roman"/>
                <w:color w:val="FFFFFF"/>
                <w:sz w:val="24"/>
                <w:szCs w:val="24"/>
              </w:rPr>
            </w:pPr>
            <w:r w:rsidRPr="003818FB">
              <w:rPr>
                <w:rFonts w:asciiTheme="majorHAnsi" w:eastAsia="Times New Roman" w:hAnsiTheme="majorHAnsi" w:cs="Times New Roman"/>
                <w:color w:val="FFFFFF"/>
                <w:sz w:val="24"/>
                <w:szCs w:val="24"/>
              </w:rPr>
              <w:t>Drinking and driving past month</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13.30%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C00000"/>
                <w:sz w:val="24"/>
                <w:szCs w:val="24"/>
              </w:rPr>
            </w:pPr>
            <w:r w:rsidRPr="003818FB">
              <w:rPr>
                <w:rFonts w:asciiTheme="majorHAnsi" w:eastAsia="Times New Roman" w:hAnsiTheme="majorHAnsi" w:cs="Times New Roman"/>
                <w:b/>
                <w:bCs/>
                <w:color w:val="C00000"/>
                <w:sz w:val="24"/>
                <w:szCs w:val="24"/>
              </w:rPr>
              <w:t>15.50%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12.20%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10.80%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13.00%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10.10%</w:t>
            </w:r>
          </w:p>
        </w:tc>
      </w:tr>
      <w:tr w:rsidR="003818FB" w:rsidRPr="003818FB" w:rsidTr="003818FB">
        <w:trPr>
          <w:trHeight w:val="457"/>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9.70%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7.2%</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8.70%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9.00%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8.50%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sz w:val="24"/>
                <w:szCs w:val="24"/>
              </w:rPr>
            </w:pPr>
            <w:r w:rsidRPr="003818FB">
              <w:rPr>
                <w:rFonts w:ascii="Cambria" w:eastAsia="Times New Roman" w:hAnsi="Cambria" w:cs="Times New Roman"/>
                <w:sz w:val="24"/>
                <w:szCs w:val="24"/>
              </w:rPr>
              <w:t>7.70%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6.90%</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8.00%</w:t>
            </w:r>
          </w:p>
        </w:tc>
      </w:tr>
      <w:tr w:rsidR="003818FB" w:rsidRPr="003818FB" w:rsidTr="003818FB">
        <w:trPr>
          <w:trHeight w:val="529"/>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39"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8.20%</w:t>
            </w:r>
          </w:p>
        </w:tc>
        <w:tc>
          <w:tcPr>
            <w:tcW w:w="1399"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sidRPr="003818FB">
              <w:rPr>
                <w:rFonts w:asciiTheme="majorHAnsi" w:eastAsia="Times New Roman" w:hAnsiTheme="majorHAnsi" w:cs="Times New Roman"/>
                <w:b/>
                <w:bCs/>
                <w:color w:val="00B050"/>
                <w:sz w:val="24"/>
                <w:szCs w:val="24"/>
              </w:rPr>
              <w:t xml:space="preserve"> </w:t>
            </w:r>
            <w:r>
              <w:rPr>
                <w:rFonts w:asciiTheme="majorHAnsi" w:eastAsia="Times New Roman" w:hAnsiTheme="majorHAnsi" w:cs="Times New Roman"/>
                <w:b/>
                <w:bCs/>
                <w:color w:val="00B050"/>
                <w:sz w:val="24"/>
                <w:szCs w:val="24"/>
              </w:rPr>
              <w:t>6.5%</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6.90%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6.50%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8.60%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6.40%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5.40%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7.10%</w:t>
            </w:r>
          </w:p>
        </w:tc>
      </w:tr>
      <w:tr w:rsidR="003818FB" w:rsidRPr="003818FB" w:rsidTr="003818FB">
        <w:trPr>
          <w:trHeight w:val="52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10.00%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sidRPr="003818FB">
              <w:rPr>
                <w:rFonts w:asciiTheme="majorHAnsi" w:eastAsia="Times New Roman" w:hAnsiTheme="majorHAnsi" w:cs="Times New Roman"/>
                <w:b/>
                <w:bCs/>
                <w:color w:val="00B050"/>
                <w:sz w:val="24"/>
                <w:szCs w:val="24"/>
              </w:rPr>
              <w:t xml:space="preserve"> </w:t>
            </w:r>
            <w:r>
              <w:rPr>
                <w:rFonts w:asciiTheme="majorHAnsi" w:eastAsia="Times New Roman" w:hAnsiTheme="majorHAnsi" w:cs="Times New Roman"/>
                <w:b/>
                <w:bCs/>
                <w:color w:val="00B050"/>
                <w:sz w:val="24"/>
                <w:szCs w:val="24"/>
              </w:rPr>
              <w:t>8.5%</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9.40%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7.10%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6.60%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8.40%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8.70%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10.20%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10.20%</w:t>
            </w:r>
          </w:p>
        </w:tc>
      </w:tr>
    </w:tbl>
    <w:p w:rsidR="00646BAD" w:rsidRDefault="00646BAD" w:rsidP="00646BAD">
      <w:pPr>
        <w:jc w:val="both"/>
        <w:rPr>
          <w:noProof/>
        </w:rPr>
      </w:pPr>
    </w:p>
    <w:p w:rsidR="00646BAD" w:rsidRDefault="00646BAD" w:rsidP="00646BAD">
      <w:pPr>
        <w:jc w:val="both"/>
        <w:rPr>
          <w:color w:val="4F6228"/>
          <w:sz w:val="20"/>
          <w:szCs w:val="20"/>
        </w:rPr>
      </w:pPr>
    </w:p>
    <w:p w:rsidR="00C8487E" w:rsidRDefault="00C8487E" w:rsidP="00646BAD">
      <w:pPr>
        <w:jc w:val="both"/>
        <w:rPr>
          <w:color w:val="4F6228"/>
          <w:sz w:val="20"/>
          <w:szCs w:val="20"/>
        </w:rPr>
      </w:pPr>
    </w:p>
    <w:p w:rsidR="00C8487E" w:rsidRDefault="00C8487E" w:rsidP="00646BAD">
      <w:pPr>
        <w:jc w:val="both"/>
        <w:rPr>
          <w:color w:val="4F6228"/>
          <w:sz w:val="20"/>
          <w:szCs w:val="20"/>
        </w:rPr>
      </w:pPr>
    </w:p>
    <w:p w:rsidR="00C8487E" w:rsidRDefault="00C8487E" w:rsidP="00646BAD">
      <w:pPr>
        <w:jc w:val="both"/>
        <w:rPr>
          <w:color w:val="4F6228"/>
          <w:sz w:val="20"/>
          <w:szCs w:val="20"/>
        </w:rPr>
      </w:pPr>
    </w:p>
    <w:p w:rsidR="00646BAD" w:rsidRPr="00C87B59" w:rsidRDefault="00646BAD" w:rsidP="00646BAD">
      <w:pPr>
        <w:rPr>
          <w:rFonts w:ascii="Calibri" w:hAnsi="Calibri" w:cs="Arial"/>
          <w:b/>
          <w:color w:val="1F497D"/>
          <w:sz w:val="28"/>
          <w:szCs w:val="28"/>
        </w:rPr>
      </w:pPr>
      <w:r>
        <w:rPr>
          <w:rFonts w:ascii="Calibri" w:hAnsi="Calibri" w:cs="Arial"/>
          <w:b/>
          <w:color w:val="1F497D"/>
          <w:sz w:val="28"/>
          <w:szCs w:val="28"/>
        </w:rPr>
        <w:lastRenderedPageBreak/>
        <w:t>RI vs. Region comparison</w:t>
      </w:r>
      <w:r w:rsidRPr="00822894">
        <w:rPr>
          <w:rFonts w:ascii="Calibri" w:hAnsi="Calibri" w:cs="Arial"/>
          <w:b/>
          <w:color w:val="1F497D"/>
          <w:sz w:val="28"/>
          <w:szCs w:val="28"/>
        </w:rPr>
        <w:t xml:space="preserve"> on </w:t>
      </w:r>
      <w:r>
        <w:rPr>
          <w:rFonts w:ascii="Calibri" w:hAnsi="Calibri" w:cs="Arial"/>
          <w:b/>
          <w:color w:val="1F497D"/>
          <w:sz w:val="28"/>
          <w:szCs w:val="28"/>
        </w:rPr>
        <w:t>Marijuana</w:t>
      </w:r>
      <w:r w:rsidRPr="00822894">
        <w:rPr>
          <w:rFonts w:ascii="Calibri" w:hAnsi="Calibri" w:cs="Arial"/>
          <w:b/>
          <w:color w:val="1F497D"/>
          <w:sz w:val="28"/>
          <w:szCs w:val="28"/>
        </w:rPr>
        <w:t xml:space="preserve"> Consumption Indicators for</w:t>
      </w:r>
      <w:r>
        <w:rPr>
          <w:rFonts w:ascii="Calibri" w:hAnsi="Calibri" w:cs="Arial"/>
          <w:b/>
          <w:color w:val="1F497D"/>
          <w:sz w:val="28"/>
          <w:szCs w:val="28"/>
        </w:rPr>
        <w:t xml:space="preserve"> unde</w:t>
      </w:r>
      <w:r w:rsidR="003818FB">
        <w:rPr>
          <w:rFonts w:ascii="Calibri" w:hAnsi="Calibri" w:cs="Arial"/>
          <w:b/>
          <w:color w:val="1F497D"/>
          <w:sz w:val="28"/>
          <w:szCs w:val="28"/>
        </w:rPr>
        <w:t>rage population (&lt;18), 2001-2013</w:t>
      </w:r>
    </w:p>
    <w:tbl>
      <w:tblPr>
        <w:tblW w:w="10560" w:type="dxa"/>
        <w:tblInd w:w="93" w:type="dxa"/>
        <w:tblLook w:val="04A0" w:firstRow="1" w:lastRow="0" w:firstColumn="1" w:lastColumn="0" w:noHBand="0" w:noVBand="1"/>
      </w:tblPr>
      <w:tblGrid>
        <w:gridCol w:w="785"/>
        <w:gridCol w:w="1075"/>
        <w:gridCol w:w="1075"/>
        <w:gridCol w:w="1011"/>
        <w:gridCol w:w="1011"/>
        <w:gridCol w:w="1011"/>
        <w:gridCol w:w="1011"/>
        <w:gridCol w:w="1011"/>
        <w:gridCol w:w="1011"/>
        <w:gridCol w:w="1011"/>
        <w:gridCol w:w="1011"/>
      </w:tblGrid>
      <w:tr w:rsidR="003818FB" w:rsidRPr="003818FB" w:rsidTr="003818FB">
        <w:trPr>
          <w:trHeight w:hRule="exact" w:val="330"/>
        </w:trPr>
        <w:tc>
          <w:tcPr>
            <w:tcW w:w="960" w:type="dxa"/>
            <w:tcBorders>
              <w:top w:val="single" w:sz="8" w:space="0" w:color="4F81BD"/>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USA</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color w:val="FFFFFF"/>
                <w:sz w:val="24"/>
                <w:szCs w:val="24"/>
              </w:rPr>
            </w:pPr>
            <w:r w:rsidRPr="003818FB">
              <w:rPr>
                <w:rFonts w:ascii="Cambria" w:eastAsia="Times New Roman" w:hAnsi="Cambria" w:cs="Times New Roman"/>
                <w:color w:val="FFFFFF"/>
                <w:sz w:val="24"/>
                <w:szCs w:val="24"/>
              </w:rPr>
              <w:t>RI</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CT</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MA</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ME</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NH</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NJ</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NY</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PA</w:t>
            </w:r>
          </w:p>
        </w:tc>
        <w:tc>
          <w:tcPr>
            <w:tcW w:w="960" w:type="dxa"/>
            <w:tcBorders>
              <w:top w:val="single" w:sz="8" w:space="0" w:color="4F81BD"/>
              <w:left w:val="nil"/>
              <w:bottom w:val="nil"/>
              <w:right w:val="single" w:sz="8" w:space="0" w:color="4F81BD"/>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VT</w:t>
            </w:r>
          </w:p>
        </w:tc>
      </w:tr>
      <w:tr w:rsidR="003818FB" w:rsidRPr="003818FB" w:rsidTr="003818FB">
        <w:trPr>
          <w:trHeight w:hRule="exac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0" w:type="dxa"/>
            <w:gridSpan w:val="10"/>
            <w:tcBorders>
              <w:top w:val="nil"/>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Using marijuana past month</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23.90%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33.20%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30.90%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27.20%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24.90%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30.30%</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20.80%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26.30%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21.80%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27.10%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20.50%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25.60%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20.30%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20.90%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19.30%</w:t>
            </w:r>
          </w:p>
        </w:tc>
        <w:tc>
          <w:tcPr>
            <w:tcW w:w="960"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24.60%</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23.10%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26.30%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27.90%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21.20%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28.40%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20.50%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24.40%</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23.40%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23.90%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26.00%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24.80%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21.30%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24.40%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21.00%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21.40%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single" w:sz="8" w:space="0" w:color="4F81BD"/>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25.70%</w:t>
            </w:r>
          </w:p>
        </w:tc>
      </w:tr>
      <w:tr w:rsidR="003818FB" w:rsidRPr="003818FB" w:rsidTr="003818FB">
        <w:trPr>
          <w:trHeight w:hRule="exac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0" w:type="dxa"/>
            <w:gridSpan w:val="10"/>
            <w:tcBorders>
              <w:top w:val="single" w:sz="8" w:space="0" w:color="4F81BD"/>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Initial use of marijuana before age 13</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10.20%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12.80%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11.90%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12.00%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9.20%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12.20%</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7.50%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8.30%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5.80%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9.00%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9.80%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8.40%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4.10%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7.70%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5.30%</w:t>
            </w:r>
          </w:p>
        </w:tc>
        <w:tc>
          <w:tcPr>
            <w:tcW w:w="960"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8.70%</w:t>
            </w:r>
          </w:p>
        </w:tc>
      </w:tr>
      <w:tr w:rsidR="003818FB" w:rsidRPr="003818FB" w:rsidTr="003818FB">
        <w:trPr>
          <w:trHeight w:val="330"/>
        </w:trPr>
        <w:tc>
          <w:tcPr>
            <w:tcW w:w="960" w:type="dxa"/>
            <w:tcBorders>
              <w:top w:val="nil"/>
              <w:left w:val="single" w:sz="8" w:space="0" w:color="4F81BD"/>
              <w:bottom w:val="nil"/>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8.10%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7.10%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6.90%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7.70%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4.30%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7.60%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6.40%</w:t>
            </w:r>
          </w:p>
        </w:tc>
      </w:tr>
      <w:tr w:rsidR="003818FB" w:rsidRPr="003818FB" w:rsidTr="003818FB">
        <w:trPr>
          <w:trHeight w:val="330"/>
        </w:trPr>
        <w:tc>
          <w:tcPr>
            <w:tcW w:w="960" w:type="dxa"/>
            <w:tcBorders>
              <w:top w:val="single" w:sz="8" w:space="0" w:color="FFFFFF"/>
              <w:left w:val="single" w:sz="8" w:space="0" w:color="4F81BD"/>
              <w:bottom w:val="single" w:sz="8" w:space="0" w:color="4F81BD"/>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8.60%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6.80%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7.00%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6.60%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6.60%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5.10%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8.40%</w:t>
            </w:r>
          </w:p>
        </w:tc>
      </w:tr>
    </w:tbl>
    <w:p w:rsidR="00646BAD" w:rsidRDefault="00646BAD" w:rsidP="00646BAD">
      <w:pPr>
        <w:jc w:val="both"/>
        <w:rPr>
          <w:color w:val="4F6228"/>
          <w:sz w:val="20"/>
          <w:szCs w:val="20"/>
        </w:rPr>
      </w:pPr>
    </w:p>
    <w:p w:rsidR="00646BAD" w:rsidRPr="00C87B59" w:rsidRDefault="00646BAD" w:rsidP="00646BAD">
      <w:pPr>
        <w:rPr>
          <w:rFonts w:ascii="Calibri" w:hAnsi="Calibri" w:cs="Arial"/>
          <w:b/>
          <w:color w:val="1F497D"/>
          <w:sz w:val="28"/>
          <w:szCs w:val="28"/>
        </w:rPr>
      </w:pPr>
      <w:r>
        <w:rPr>
          <w:rFonts w:ascii="Calibri" w:hAnsi="Calibri" w:cs="Arial"/>
          <w:b/>
          <w:color w:val="1F497D"/>
          <w:sz w:val="28"/>
          <w:szCs w:val="28"/>
        </w:rPr>
        <w:t>RI vs. Region comparison</w:t>
      </w:r>
      <w:r w:rsidRPr="00822894">
        <w:rPr>
          <w:rFonts w:ascii="Calibri" w:hAnsi="Calibri" w:cs="Arial"/>
          <w:b/>
          <w:color w:val="1F497D"/>
          <w:sz w:val="28"/>
          <w:szCs w:val="28"/>
        </w:rPr>
        <w:t xml:space="preserve"> on </w:t>
      </w:r>
      <w:r w:rsidR="003818FB">
        <w:rPr>
          <w:rFonts w:ascii="Calibri" w:hAnsi="Calibri" w:cs="Arial"/>
          <w:b/>
          <w:color w:val="1F497D"/>
          <w:sz w:val="28"/>
          <w:szCs w:val="28"/>
        </w:rPr>
        <w:t>Prescription Drug</w:t>
      </w:r>
      <w:r w:rsidRPr="00822894">
        <w:rPr>
          <w:rFonts w:ascii="Calibri" w:hAnsi="Calibri" w:cs="Arial"/>
          <w:b/>
          <w:color w:val="1F497D"/>
          <w:sz w:val="28"/>
          <w:szCs w:val="28"/>
        </w:rPr>
        <w:t xml:space="preserve"> Consumption Indicators for</w:t>
      </w:r>
      <w:r>
        <w:rPr>
          <w:rFonts w:ascii="Calibri" w:hAnsi="Calibri" w:cs="Arial"/>
          <w:b/>
          <w:color w:val="1F497D"/>
          <w:sz w:val="28"/>
          <w:szCs w:val="28"/>
        </w:rPr>
        <w:t xml:space="preserve"> underage population (&lt;18), 2011</w:t>
      </w:r>
      <w:r w:rsidR="003818FB">
        <w:rPr>
          <w:rFonts w:ascii="Calibri" w:hAnsi="Calibri" w:cs="Arial"/>
          <w:b/>
          <w:color w:val="1F497D"/>
          <w:sz w:val="28"/>
          <w:szCs w:val="28"/>
        </w:rPr>
        <w:t>-2013</w:t>
      </w:r>
    </w:p>
    <w:tbl>
      <w:tblPr>
        <w:tblW w:w="10560" w:type="dxa"/>
        <w:tblInd w:w="93" w:type="dxa"/>
        <w:tblLook w:val="04A0" w:firstRow="1" w:lastRow="0" w:firstColumn="1" w:lastColumn="0" w:noHBand="0" w:noVBand="1"/>
      </w:tblPr>
      <w:tblGrid>
        <w:gridCol w:w="931"/>
        <w:gridCol w:w="1075"/>
        <w:gridCol w:w="1075"/>
        <w:gridCol w:w="885"/>
        <w:gridCol w:w="897"/>
        <w:gridCol w:w="1011"/>
        <w:gridCol w:w="1011"/>
        <w:gridCol w:w="1011"/>
        <w:gridCol w:w="888"/>
        <w:gridCol w:w="888"/>
        <w:gridCol w:w="888"/>
      </w:tblGrid>
      <w:tr w:rsidR="003818FB" w:rsidRPr="003818FB" w:rsidTr="003818FB">
        <w:trPr>
          <w:trHeight w:hRule="exact" w:val="315"/>
        </w:trPr>
        <w:tc>
          <w:tcPr>
            <w:tcW w:w="960" w:type="dxa"/>
            <w:vMerge w:val="restart"/>
            <w:tcBorders>
              <w:top w:val="single" w:sz="8" w:space="0" w:color="4F81BD"/>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 w:type="dxa"/>
            <w:vMerge w:val="restart"/>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USA</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color w:val="FFFFFF"/>
                <w:sz w:val="24"/>
                <w:szCs w:val="24"/>
              </w:rPr>
            </w:pPr>
            <w:r w:rsidRPr="003818FB">
              <w:rPr>
                <w:rFonts w:ascii="Cambria" w:eastAsia="Times New Roman" w:hAnsi="Cambria" w:cs="Times New Roman"/>
                <w:color w:val="FFFFFF"/>
                <w:sz w:val="24"/>
                <w:szCs w:val="24"/>
              </w:rPr>
              <w:t>RI</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CT</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MA</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ME</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NH</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NJ</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NY</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PA</w:t>
            </w:r>
          </w:p>
        </w:tc>
        <w:tc>
          <w:tcPr>
            <w:tcW w:w="960" w:type="dxa"/>
            <w:vMerge w:val="restart"/>
            <w:tcBorders>
              <w:top w:val="single" w:sz="8" w:space="0" w:color="4F81BD"/>
              <w:left w:val="single" w:sz="8" w:space="0" w:color="FFFFFF"/>
              <w:bottom w:val="nil"/>
              <w:right w:val="single" w:sz="8" w:space="0" w:color="4F81BD"/>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VT</w:t>
            </w:r>
          </w:p>
        </w:tc>
      </w:tr>
      <w:tr w:rsidR="003818FB" w:rsidRPr="003818FB" w:rsidTr="003818FB">
        <w:trPr>
          <w:trHeight w:val="281"/>
        </w:trPr>
        <w:tc>
          <w:tcPr>
            <w:tcW w:w="960" w:type="dxa"/>
            <w:vMerge/>
            <w:tcBorders>
              <w:top w:val="single" w:sz="8" w:space="0" w:color="4F81BD"/>
              <w:left w:val="single" w:sz="8" w:space="0" w:color="4F81BD"/>
              <w:bottom w:val="single" w:sz="8" w:space="0" w:color="FFFFFF"/>
              <w:right w:val="nil"/>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nil"/>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color w:val="FFFFFF"/>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4F81BD"/>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r>
      <w:tr w:rsidR="003818FB" w:rsidRPr="003818FB" w:rsidTr="003818FB">
        <w:trPr>
          <w:trHeight w:hRule="exac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0" w:type="dxa"/>
            <w:gridSpan w:val="10"/>
            <w:tcBorders>
              <w:top w:val="nil"/>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Ever took prescription drugs without a doctor’s prescription</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20.70%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8000"/>
                <w:sz w:val="24"/>
                <w:szCs w:val="24"/>
              </w:rPr>
            </w:pPr>
            <w:r w:rsidRPr="003818FB">
              <w:rPr>
                <w:rFonts w:ascii="Cambria" w:eastAsia="Times New Roman" w:hAnsi="Cambria" w:cs="Times New Roman"/>
                <w:b/>
                <w:bCs/>
                <w:color w:val="008000"/>
                <w:sz w:val="24"/>
                <w:szCs w:val="24"/>
              </w:rPr>
              <w:t>14.10%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8000"/>
                <w:sz w:val="24"/>
                <w:szCs w:val="24"/>
              </w:rPr>
            </w:pPr>
            <w:r w:rsidRPr="003818FB">
              <w:rPr>
                <w:rFonts w:ascii="Cambria" w:eastAsia="Times New Roman" w:hAnsi="Cambria" w:cs="Times New Roman"/>
                <w:color w:val="008000"/>
                <w:sz w:val="24"/>
                <w:szCs w:val="24"/>
              </w:rPr>
              <w:t>13.90%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20.80%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15.10%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17.80%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8000"/>
                <w:sz w:val="24"/>
                <w:szCs w:val="24"/>
              </w:rPr>
            </w:pPr>
            <w:r w:rsidRPr="003818FB">
              <w:rPr>
                <w:rFonts w:ascii="Cambria" w:eastAsia="Times New Roman" w:hAnsi="Cambria" w:cs="Times New Roman"/>
                <w:b/>
                <w:bCs/>
                <w:color w:val="008000"/>
                <w:sz w:val="24"/>
                <w:szCs w:val="24"/>
              </w:rPr>
              <w:t>13.50%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8000"/>
                <w:sz w:val="24"/>
                <w:szCs w:val="24"/>
              </w:rPr>
            </w:pPr>
            <w:r w:rsidRPr="003818FB">
              <w:rPr>
                <w:rFonts w:ascii="Cambria" w:eastAsia="Times New Roman" w:hAnsi="Cambria" w:cs="Times New Roman"/>
                <w:color w:val="008000"/>
                <w:sz w:val="24"/>
                <w:szCs w:val="24"/>
              </w:rPr>
              <w:t>12.40%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16.50%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11.80%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r>
    </w:tbl>
    <w:p w:rsidR="00646BAD" w:rsidRDefault="00646BAD" w:rsidP="00646BAD">
      <w:pPr>
        <w:jc w:val="both"/>
        <w:rPr>
          <w:color w:val="4F6228"/>
          <w:sz w:val="20"/>
          <w:szCs w:val="20"/>
        </w:rPr>
      </w:pPr>
    </w:p>
    <w:p w:rsidR="00646BAD" w:rsidRDefault="00646BAD" w:rsidP="00646BAD">
      <w:pPr>
        <w:jc w:val="both"/>
        <w:rPr>
          <w:color w:val="4F6228"/>
          <w:sz w:val="20"/>
          <w:szCs w:val="20"/>
        </w:rPr>
      </w:pPr>
    </w:p>
    <w:p w:rsidR="0042529F" w:rsidRDefault="0042529F" w:rsidP="0042529F">
      <w:pPr>
        <w:pStyle w:val="paragraph"/>
        <w:numPr>
          <w:ilvl w:val="0"/>
          <w:numId w:val="2"/>
        </w:numPr>
        <w:rPr>
          <w:sz w:val="22"/>
        </w:rPr>
      </w:pPr>
      <w:r>
        <w:rPr>
          <w:sz w:val="22"/>
        </w:rPr>
        <w:t xml:space="preserve">YRBS data comparing </w:t>
      </w:r>
      <w:smartTag w:uri="urn:schemas-microsoft-com:office:smarttags" w:element="State">
        <w:smartTag w:uri="urn:schemas-microsoft-com:office:smarttags" w:element="place">
          <w:r>
            <w:rPr>
              <w:sz w:val="22"/>
            </w:rPr>
            <w:t>Rhode Island</w:t>
          </w:r>
        </w:smartTag>
      </w:smartTag>
      <w:r>
        <w:rPr>
          <w:sz w:val="22"/>
        </w:rPr>
        <w:t xml:space="preserve"> with the entire US showed an encouraging trend for declines in 30-day alcohol prevalence.  </w:t>
      </w:r>
      <w:r>
        <w:rPr>
          <w:b/>
          <w:sz w:val="22"/>
        </w:rPr>
        <w:t>Rhode Island</w:t>
      </w:r>
      <w:r w:rsidR="00F83D04">
        <w:rPr>
          <w:b/>
          <w:sz w:val="22"/>
        </w:rPr>
        <w:t>’s decline from 2001</w:t>
      </w:r>
      <w:r>
        <w:rPr>
          <w:b/>
          <w:sz w:val="22"/>
        </w:rPr>
        <w:t>-2009 was</w:t>
      </w:r>
      <w:r w:rsidRPr="006E0B61">
        <w:rPr>
          <w:b/>
          <w:sz w:val="22"/>
        </w:rPr>
        <w:t xml:space="preserve"> greater than the average</w:t>
      </w:r>
      <w:r>
        <w:rPr>
          <w:b/>
          <w:sz w:val="22"/>
        </w:rPr>
        <w:t xml:space="preserve"> decline</w:t>
      </w:r>
      <w:r w:rsidRPr="006E0B61">
        <w:rPr>
          <w:b/>
          <w:sz w:val="22"/>
        </w:rPr>
        <w:t xml:space="preserve"> in the nation</w:t>
      </w:r>
      <w:r>
        <w:rPr>
          <w:sz w:val="22"/>
        </w:rPr>
        <w:t>.  We believe prevention initiatives contributed to this reduction in prevalence.  Definitive testing of such a hypothesis was precluded by the cancellation of the SALT survey.  However, continuance of this tr</w:t>
      </w:r>
      <w:r w:rsidR="002E79D8">
        <w:rPr>
          <w:sz w:val="22"/>
        </w:rPr>
        <w:t>end in the 2013</w:t>
      </w:r>
      <w:r>
        <w:rPr>
          <w:sz w:val="22"/>
        </w:rPr>
        <w:t xml:space="preserve"> YRBS data increases the plausibility. </w:t>
      </w:r>
    </w:p>
    <w:p w:rsidR="0042529F" w:rsidRPr="00FA028B" w:rsidRDefault="0042529F" w:rsidP="00646BAD">
      <w:pPr>
        <w:jc w:val="both"/>
        <w:rPr>
          <w:color w:val="4F6228"/>
          <w:sz w:val="20"/>
          <w:szCs w:val="20"/>
        </w:rPr>
        <w:sectPr w:rsidR="0042529F" w:rsidRPr="00FA028B" w:rsidSect="009E50E0">
          <w:footerReference w:type="default" r:id="rId14"/>
          <w:headerReference w:type="first" r:id="rId15"/>
          <w:footerReference w:type="first" r:id="rId16"/>
          <w:pgSz w:w="15840" w:h="12240" w:orient="landscape"/>
          <w:pgMar w:top="450" w:right="1440" w:bottom="1800" w:left="1440" w:header="720" w:footer="720" w:gutter="0"/>
          <w:pgBorders w:offsetFrom="page">
            <w:top w:val="none" w:sz="0" w:space="0" w:color="000000"/>
            <w:left w:val="none" w:sz="0" w:space="0" w:color="000000"/>
            <w:bottom w:val="none" w:sz="0" w:space="0" w:color="000000"/>
            <w:right w:val="none" w:sz="0" w:space="0" w:color="000000"/>
          </w:pgBorders>
          <w:pgNumType w:start="1"/>
          <w:cols w:space="720"/>
          <w:titlePg/>
          <w:docGrid w:linePitch="326"/>
        </w:sectPr>
      </w:pPr>
    </w:p>
    <w:p w:rsidR="00272E88" w:rsidRPr="00682B94" w:rsidRDefault="006530BC" w:rsidP="00A3796E">
      <w:pPr>
        <w:spacing w:line="240" w:lineRule="auto"/>
        <w:jc w:val="center"/>
        <w:rPr>
          <w:rFonts w:ascii="Times New Roman" w:hAnsi="Times New Roman" w:cs="Times New Roman"/>
          <w:b/>
          <w:sz w:val="20"/>
          <w:szCs w:val="20"/>
        </w:rPr>
      </w:pPr>
      <w:r w:rsidRPr="00682B94">
        <w:rPr>
          <w:rFonts w:ascii="Times New Roman" w:hAnsi="Times New Roman" w:cs="Times New Roman"/>
          <w:b/>
          <w:sz w:val="20"/>
          <w:szCs w:val="20"/>
        </w:rPr>
        <w:lastRenderedPageBreak/>
        <w:t>BHDDH Prevention System</w:t>
      </w:r>
      <w:r w:rsidR="00646BAD" w:rsidRPr="00682B94">
        <w:rPr>
          <w:rFonts w:ascii="Times New Roman" w:hAnsi="Times New Roman" w:cs="Times New Roman"/>
          <w:b/>
          <w:sz w:val="20"/>
          <w:szCs w:val="20"/>
        </w:rPr>
        <w:t>:</w:t>
      </w:r>
    </w:p>
    <w:p w:rsidR="00F90B83" w:rsidRPr="00682B94" w:rsidRDefault="00F83D04"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 xml:space="preserve">Rhode Island </w:t>
      </w:r>
      <w:r w:rsidR="00F90B83" w:rsidRPr="00682B94">
        <w:rPr>
          <w:rFonts w:ascii="Times New Roman" w:hAnsi="Times New Roman" w:cs="Times New Roman"/>
          <w:b/>
          <w:sz w:val="20"/>
          <w:szCs w:val="20"/>
        </w:rPr>
        <w:t>Substance Abuse Prevention Act (RISAPA)</w:t>
      </w:r>
      <w:r w:rsidR="00746EC4" w:rsidRPr="00682B94">
        <w:rPr>
          <w:rFonts w:ascii="Times New Roman" w:hAnsi="Times New Roman" w:cs="Times New Roman"/>
          <w:sz w:val="20"/>
          <w:szCs w:val="20"/>
        </w:rPr>
        <w:t xml:space="preserve"> – </w:t>
      </w:r>
      <w:r w:rsidR="002615E7" w:rsidRPr="00682B94">
        <w:rPr>
          <w:rFonts w:ascii="Times New Roman" w:hAnsi="Times New Roman" w:cs="Times New Roman"/>
          <w:sz w:val="20"/>
          <w:szCs w:val="20"/>
        </w:rPr>
        <w:t xml:space="preserve">promotes comprehensive prevention programming at the community level. </w:t>
      </w:r>
      <w:r w:rsidR="00746EC4" w:rsidRPr="00682B94">
        <w:rPr>
          <w:rFonts w:ascii="Times New Roman" w:hAnsi="Times New Roman" w:cs="Times New Roman"/>
          <w:sz w:val="20"/>
          <w:szCs w:val="20"/>
        </w:rPr>
        <w:t xml:space="preserve">35 </w:t>
      </w:r>
      <w:r w:rsidR="00A32D6A" w:rsidRPr="00682B94">
        <w:rPr>
          <w:rFonts w:ascii="Times New Roman" w:hAnsi="Times New Roman" w:cs="Times New Roman"/>
          <w:sz w:val="20"/>
          <w:szCs w:val="20"/>
        </w:rPr>
        <w:t xml:space="preserve">municipal task forces, </w:t>
      </w:r>
      <w:r w:rsidR="0026289E" w:rsidRPr="00682B94">
        <w:rPr>
          <w:rFonts w:ascii="Times New Roman" w:hAnsi="Times New Roman" w:cs="Times New Roman"/>
          <w:sz w:val="20"/>
          <w:szCs w:val="20"/>
        </w:rPr>
        <w:t xml:space="preserve">covering all of the state’s 39 cities and </w:t>
      </w:r>
      <w:r w:rsidR="00A32D6A" w:rsidRPr="00682B94">
        <w:rPr>
          <w:rFonts w:ascii="Times New Roman" w:hAnsi="Times New Roman" w:cs="Times New Roman"/>
          <w:sz w:val="20"/>
          <w:szCs w:val="20"/>
        </w:rPr>
        <w:t xml:space="preserve">towns engage in local needs assessments; and planning, implementation, and evaluation of strategies, policies, and programs to produce long term reductions in substance use and abuse. </w:t>
      </w:r>
    </w:p>
    <w:p w:rsidR="00C2112B" w:rsidRPr="00682B94" w:rsidRDefault="00C2112B"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State Epidemiological Outcomes Workgroup</w:t>
      </w:r>
      <w:r w:rsidRPr="00682B94">
        <w:rPr>
          <w:rFonts w:ascii="Times New Roman" w:hAnsi="Times New Roman" w:cs="Times New Roman"/>
          <w:sz w:val="20"/>
          <w:szCs w:val="20"/>
        </w:rPr>
        <w:t xml:space="preserve"> (SEOW) – lead</w:t>
      </w:r>
      <w:r w:rsidR="00805478" w:rsidRPr="00682B94">
        <w:rPr>
          <w:rFonts w:ascii="Times New Roman" w:hAnsi="Times New Roman" w:cs="Times New Roman"/>
          <w:sz w:val="20"/>
          <w:szCs w:val="20"/>
        </w:rPr>
        <w:t>s</w:t>
      </w:r>
      <w:r w:rsidRPr="00682B94">
        <w:rPr>
          <w:rFonts w:ascii="Times New Roman" w:hAnsi="Times New Roman" w:cs="Times New Roman"/>
          <w:sz w:val="20"/>
          <w:szCs w:val="20"/>
        </w:rPr>
        <w:t xml:space="preserve"> data-driven planning and decision making for the purposes of state and community level substance use and abuse, and consequences, and mental illness across the State of Rhode Island. With BHDDH administered authority, Department of Community Health at Brown University has a lead responsibility for epidemiologic analyses conducted by SEOW, and University of Rhode Island Department of Psychology provides prevention evaluation services for BHDDH. </w:t>
      </w:r>
      <w:r w:rsidR="00025FE7" w:rsidRPr="00682B94">
        <w:rPr>
          <w:rFonts w:ascii="Times New Roman" w:hAnsi="Times New Roman" w:cs="Times New Roman"/>
          <w:sz w:val="20"/>
          <w:szCs w:val="20"/>
        </w:rPr>
        <w:t>With the advent of PFS money, SEOW will continue its efforts until September 2018.</w:t>
      </w:r>
    </w:p>
    <w:p w:rsidR="00746EC4" w:rsidRPr="00682B94" w:rsidRDefault="0026289E"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Synar</w:t>
      </w:r>
      <w:r w:rsidRPr="00682B94">
        <w:rPr>
          <w:rFonts w:ascii="Times New Roman" w:hAnsi="Times New Roman" w:cs="Times New Roman"/>
          <w:sz w:val="20"/>
          <w:szCs w:val="20"/>
        </w:rPr>
        <w:t xml:space="preserve"> </w:t>
      </w:r>
      <w:r w:rsidR="00746EC4" w:rsidRPr="00682B94">
        <w:rPr>
          <w:rFonts w:ascii="Times New Roman" w:hAnsi="Times New Roman" w:cs="Times New Roman"/>
          <w:sz w:val="20"/>
          <w:szCs w:val="20"/>
        </w:rPr>
        <w:t>–</w:t>
      </w:r>
      <w:r w:rsidRPr="00682B94">
        <w:rPr>
          <w:rFonts w:ascii="Times New Roman" w:hAnsi="Times New Roman" w:cs="Times New Roman"/>
          <w:sz w:val="20"/>
          <w:szCs w:val="20"/>
        </w:rPr>
        <w:t xml:space="preserve"> </w:t>
      </w:r>
      <w:r w:rsidR="00746EC4" w:rsidRPr="00682B94">
        <w:rPr>
          <w:rFonts w:ascii="Times New Roman" w:hAnsi="Times New Roman" w:cs="Times New Roman"/>
          <w:sz w:val="20"/>
          <w:szCs w:val="20"/>
        </w:rPr>
        <w:t xml:space="preserve">requires states to have in place a law prohibiting the sale or distribution of tobacco products to children under the age of 18. The program annually surveys random retail tobacco outlets statewide to determine retailer compliance with the youth access law. </w:t>
      </w:r>
    </w:p>
    <w:p w:rsidR="00F90B83" w:rsidRPr="00682B94" w:rsidRDefault="00F90B83"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Rhode Island Student Assistance</w:t>
      </w:r>
      <w:r w:rsidRPr="00682B94">
        <w:rPr>
          <w:rFonts w:ascii="Times New Roman" w:hAnsi="Times New Roman" w:cs="Times New Roman"/>
          <w:sz w:val="20"/>
          <w:szCs w:val="20"/>
        </w:rPr>
        <w:t xml:space="preserve"> </w:t>
      </w:r>
      <w:r w:rsidR="00F53A84" w:rsidRPr="00682B94">
        <w:rPr>
          <w:rFonts w:ascii="Times New Roman" w:hAnsi="Times New Roman" w:cs="Times New Roman"/>
          <w:sz w:val="20"/>
          <w:szCs w:val="20"/>
        </w:rPr>
        <w:t>–</w:t>
      </w:r>
      <w:r w:rsidR="00475F3D" w:rsidRPr="00682B94">
        <w:rPr>
          <w:rFonts w:ascii="Times New Roman" w:hAnsi="Times New Roman" w:cs="Times New Roman"/>
          <w:sz w:val="20"/>
          <w:szCs w:val="20"/>
        </w:rPr>
        <w:t xml:space="preserve"> </w:t>
      </w:r>
      <w:r w:rsidR="00F53A84" w:rsidRPr="00682B94">
        <w:rPr>
          <w:rFonts w:ascii="Times New Roman" w:hAnsi="Times New Roman" w:cs="Times New Roman"/>
          <w:sz w:val="20"/>
          <w:szCs w:val="20"/>
        </w:rPr>
        <w:t xml:space="preserve">school based alcohol, tobacco and other drug abuse prevention/early intervention program. </w:t>
      </w:r>
      <w:r w:rsidR="00341C8E" w:rsidRPr="00682B94">
        <w:rPr>
          <w:rFonts w:ascii="Times New Roman" w:hAnsi="Times New Roman" w:cs="Times New Roman"/>
          <w:sz w:val="20"/>
          <w:szCs w:val="20"/>
        </w:rPr>
        <w:t xml:space="preserve">The SAMHSA/CSAP model program </w:t>
      </w:r>
      <w:r w:rsidR="00341C8E" w:rsidRPr="00682B94">
        <w:rPr>
          <w:rFonts w:ascii="Times New Roman" w:hAnsi="Times New Roman" w:cs="Times New Roman"/>
          <w:bCs/>
          <w:sz w:val="20"/>
          <w:szCs w:val="20"/>
        </w:rPr>
        <w:t>Project Success</w:t>
      </w:r>
      <w:r w:rsidR="00341C8E" w:rsidRPr="00682B94">
        <w:rPr>
          <w:rFonts w:ascii="Times New Roman" w:hAnsi="Times New Roman" w:cs="Times New Roman"/>
          <w:b/>
          <w:bCs/>
          <w:sz w:val="20"/>
          <w:szCs w:val="20"/>
        </w:rPr>
        <w:t xml:space="preserve"> </w:t>
      </w:r>
      <w:r w:rsidR="00341C8E" w:rsidRPr="00682B94">
        <w:rPr>
          <w:rFonts w:ascii="Times New Roman" w:hAnsi="Times New Roman" w:cs="Times New Roman"/>
          <w:sz w:val="20"/>
          <w:szCs w:val="20"/>
        </w:rPr>
        <w:t>(formerly Westchester Student Assistance Program</w:t>
      </w:r>
      <w:r w:rsidR="00A16790" w:rsidRPr="00682B94">
        <w:rPr>
          <w:rFonts w:ascii="Times New Roman" w:hAnsi="Times New Roman" w:cs="Times New Roman"/>
          <w:sz w:val="20"/>
          <w:szCs w:val="20"/>
        </w:rPr>
        <w:t>) is</w:t>
      </w:r>
      <w:r w:rsidR="00341C8E" w:rsidRPr="00682B94">
        <w:rPr>
          <w:rFonts w:ascii="Times New Roman" w:hAnsi="Times New Roman" w:cs="Times New Roman"/>
          <w:sz w:val="20"/>
          <w:szCs w:val="20"/>
        </w:rPr>
        <w:t xml:space="preserve"> used. </w:t>
      </w:r>
      <w:r w:rsidR="00F53A84" w:rsidRPr="00682B94">
        <w:rPr>
          <w:rFonts w:ascii="Times New Roman" w:hAnsi="Times New Roman" w:cs="Times New Roman"/>
          <w:sz w:val="20"/>
          <w:szCs w:val="20"/>
        </w:rPr>
        <w:t>It is available in 18 middle/junior high schools and 24 high schools, representing 18 districts.</w:t>
      </w:r>
      <w:r w:rsidR="002615E7" w:rsidRPr="00682B94">
        <w:rPr>
          <w:rFonts w:ascii="Times New Roman" w:hAnsi="Times New Roman" w:cs="Times New Roman"/>
          <w:sz w:val="20"/>
          <w:szCs w:val="20"/>
        </w:rPr>
        <w:t xml:space="preserve"> </w:t>
      </w:r>
      <w:r w:rsidR="00F53A84" w:rsidRPr="00682B94">
        <w:rPr>
          <w:rFonts w:ascii="Times New Roman" w:hAnsi="Times New Roman" w:cs="Times New Roman"/>
          <w:sz w:val="20"/>
          <w:szCs w:val="20"/>
        </w:rPr>
        <w:t xml:space="preserve"> </w:t>
      </w:r>
      <w:r w:rsidR="002615E7" w:rsidRPr="00682B94">
        <w:rPr>
          <w:rFonts w:ascii="Times New Roman" w:hAnsi="Times New Roman" w:cs="Times New Roman"/>
          <w:sz w:val="20"/>
          <w:szCs w:val="20"/>
        </w:rPr>
        <w:t>4,112 students</w:t>
      </w:r>
      <w:r w:rsidR="00A32D6A" w:rsidRPr="00682B94">
        <w:rPr>
          <w:rFonts w:ascii="Times New Roman" w:hAnsi="Times New Roman" w:cs="Times New Roman"/>
          <w:sz w:val="20"/>
          <w:szCs w:val="20"/>
        </w:rPr>
        <w:t xml:space="preserve"> have been</w:t>
      </w:r>
      <w:r w:rsidR="002615E7" w:rsidRPr="00682B94">
        <w:rPr>
          <w:rFonts w:ascii="Times New Roman" w:hAnsi="Times New Roman" w:cs="Times New Roman"/>
          <w:sz w:val="20"/>
          <w:szCs w:val="20"/>
        </w:rPr>
        <w:t xml:space="preserve"> served by</w:t>
      </w:r>
      <w:r w:rsidR="00A32D6A" w:rsidRPr="00682B94">
        <w:rPr>
          <w:rFonts w:ascii="Times New Roman" w:hAnsi="Times New Roman" w:cs="Times New Roman"/>
          <w:sz w:val="20"/>
          <w:szCs w:val="20"/>
        </w:rPr>
        <w:t xml:space="preserve"> o</w:t>
      </w:r>
      <w:r w:rsidR="00341C8E" w:rsidRPr="00682B94">
        <w:rPr>
          <w:rFonts w:ascii="Times New Roman" w:hAnsi="Times New Roman" w:cs="Times New Roman"/>
          <w:sz w:val="20"/>
          <w:szCs w:val="20"/>
        </w:rPr>
        <w:t>n-site Master’s level counselors</w:t>
      </w:r>
      <w:r w:rsidR="00A32D6A" w:rsidRPr="00682B94">
        <w:rPr>
          <w:rFonts w:ascii="Times New Roman" w:hAnsi="Times New Roman" w:cs="Times New Roman"/>
          <w:sz w:val="20"/>
          <w:szCs w:val="20"/>
        </w:rPr>
        <w:t xml:space="preserve"> </w:t>
      </w:r>
      <w:r w:rsidR="002615E7" w:rsidRPr="00682B94">
        <w:rPr>
          <w:rFonts w:ascii="Times New Roman" w:hAnsi="Times New Roman" w:cs="Times New Roman"/>
          <w:sz w:val="20"/>
          <w:szCs w:val="20"/>
        </w:rPr>
        <w:t xml:space="preserve">from August 2013 to July 2014. </w:t>
      </w:r>
    </w:p>
    <w:p w:rsidR="00A26F1F" w:rsidRPr="00682B94" w:rsidRDefault="00A26F1F"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Rhode Island Strategic Prevention Framework Partnership for Success (PFS)</w:t>
      </w:r>
      <w:r w:rsidR="00D854DE" w:rsidRPr="00682B94">
        <w:rPr>
          <w:rFonts w:ascii="Times New Roman" w:hAnsi="Times New Roman" w:cs="Times New Roman"/>
          <w:sz w:val="20"/>
          <w:szCs w:val="20"/>
        </w:rPr>
        <w:t xml:space="preserve"> –</w:t>
      </w:r>
      <w:r w:rsidRPr="00682B94">
        <w:rPr>
          <w:rFonts w:ascii="Times New Roman" w:hAnsi="Times New Roman" w:cs="Times New Roman"/>
          <w:sz w:val="20"/>
          <w:szCs w:val="20"/>
        </w:rPr>
        <w:t xml:space="preserve"> </w:t>
      </w:r>
      <w:r w:rsidR="006530BC" w:rsidRPr="00682B94">
        <w:rPr>
          <w:rFonts w:ascii="Times New Roman" w:hAnsi="Times New Roman" w:cs="Times New Roman"/>
          <w:sz w:val="20"/>
          <w:szCs w:val="20"/>
        </w:rPr>
        <w:t xml:space="preserve">twelve communities (Burrillville, Cranston, Cumberland, Foster, Johnston, Lincoln, Little Compton, New Shoreham, Newport, Providence, Scituate, Westerly) </w:t>
      </w:r>
      <w:r w:rsidRPr="00682B94">
        <w:rPr>
          <w:rFonts w:ascii="Times New Roman" w:hAnsi="Times New Roman" w:cs="Times New Roman"/>
          <w:sz w:val="20"/>
          <w:szCs w:val="20"/>
        </w:rPr>
        <w:t xml:space="preserve">will enhance current underage drinking efforts with youth ages 12-17. Additional priorities will be to reduce marijuana use among youth 12-17 and assess prescription drug use and misuse among youth and young adults ages 12-25 and the resultant burden. The PFS will be administered by the RI Department of Behavioral Healthcare Developmental Disabilities and Hospitals, conducted in partnership between Brown University, University of Rhode Island, JSI/Prevention Resource Center (PRC). </w:t>
      </w:r>
    </w:p>
    <w:p w:rsidR="00025FE7" w:rsidRPr="00682B94" w:rsidRDefault="00F83D04" w:rsidP="00025FE7">
      <w:pPr>
        <w:spacing w:line="240" w:lineRule="auto"/>
        <w:rPr>
          <w:rFonts w:ascii="Times New Roman" w:hAnsi="Times New Roman" w:cs="Times New Roman"/>
          <w:sz w:val="20"/>
          <w:szCs w:val="20"/>
          <w:u w:val="single"/>
        </w:rPr>
      </w:pPr>
      <w:r w:rsidRPr="00682B94">
        <w:rPr>
          <w:rFonts w:ascii="Times New Roman" w:hAnsi="Times New Roman" w:cs="Times New Roman"/>
          <w:b/>
          <w:sz w:val="20"/>
          <w:szCs w:val="20"/>
        </w:rPr>
        <w:t xml:space="preserve">Primary Prevention Services: </w:t>
      </w:r>
      <w:r w:rsidR="00652CB9" w:rsidRPr="00682B94">
        <w:rPr>
          <w:rFonts w:ascii="Times New Roman" w:hAnsi="Times New Roman" w:cs="Times New Roman"/>
          <w:b/>
          <w:sz w:val="20"/>
          <w:szCs w:val="20"/>
        </w:rPr>
        <w:t xml:space="preserve">Reducing the Use of Marijuana and Other Drugs (MOD) </w:t>
      </w:r>
      <w:r w:rsidR="00652CB9" w:rsidRPr="00682B94">
        <w:rPr>
          <w:rFonts w:ascii="Times New Roman" w:hAnsi="Times New Roman" w:cs="Times New Roman"/>
          <w:sz w:val="20"/>
          <w:szCs w:val="20"/>
        </w:rPr>
        <w:t xml:space="preserve">– nine communities (Woonsocket, Warren, South Kingstown, Pawtucket, Tiverton, Central Falls, Chariho, Glocester, Barrington) implement evidence based programs listed in SAMHSA’s Registry </w:t>
      </w:r>
      <w:r w:rsidR="00C2112B" w:rsidRPr="00682B94">
        <w:rPr>
          <w:rFonts w:ascii="Times New Roman" w:hAnsi="Times New Roman" w:cs="Times New Roman"/>
          <w:sz w:val="20"/>
          <w:szCs w:val="20"/>
        </w:rPr>
        <w:t>addressing all six Center for Substan</w:t>
      </w:r>
      <w:r w:rsidR="00025FE7" w:rsidRPr="00682B94">
        <w:rPr>
          <w:rFonts w:ascii="Times New Roman" w:hAnsi="Times New Roman" w:cs="Times New Roman"/>
          <w:sz w:val="20"/>
          <w:szCs w:val="20"/>
        </w:rPr>
        <w:t xml:space="preserve">ce Abuse Prevention (CSAP). </w:t>
      </w:r>
      <w:r w:rsidR="00C2112B" w:rsidRPr="00682B94">
        <w:rPr>
          <w:rFonts w:ascii="Times New Roman" w:hAnsi="Times New Roman" w:cs="Times New Roman"/>
          <w:sz w:val="20"/>
          <w:szCs w:val="20"/>
        </w:rPr>
        <w:t>University of Rhode Island performs process &amp; outcome evaluations and examines that the fidelity measure are being met for evidence based programming. It collaborates with SEOW on transfer of outcomes and technology from science and research to practice at the local level.</w:t>
      </w:r>
      <w:r w:rsidR="002615DE" w:rsidRPr="00682B94">
        <w:rPr>
          <w:rFonts w:ascii="Times New Roman" w:hAnsi="Times New Roman" w:cs="Times New Roman"/>
          <w:sz w:val="20"/>
          <w:szCs w:val="20"/>
        </w:rPr>
        <w:t xml:space="preserve"> The total target population for the initiative is 6,600 students. During the two years, </w:t>
      </w:r>
      <w:r w:rsidR="00025FE7" w:rsidRPr="00682B94">
        <w:rPr>
          <w:rFonts w:ascii="Times New Roman" w:hAnsi="Times New Roman" w:cs="Times New Roman"/>
          <w:sz w:val="20"/>
          <w:szCs w:val="20"/>
        </w:rPr>
        <w:t>3,215 students have received direct intervention with evidence-based universal cu</w:t>
      </w:r>
      <w:r w:rsidR="002615DE" w:rsidRPr="00682B94">
        <w:rPr>
          <w:rFonts w:ascii="Times New Roman" w:hAnsi="Times New Roman" w:cs="Times New Roman"/>
          <w:sz w:val="20"/>
          <w:szCs w:val="20"/>
        </w:rPr>
        <w:t>rriculums.</w:t>
      </w:r>
    </w:p>
    <w:p w:rsidR="002C32B3" w:rsidRPr="00682B94" w:rsidRDefault="002C32B3" w:rsidP="00025FE7">
      <w:pPr>
        <w:spacing w:after="120" w:line="240" w:lineRule="auto"/>
        <w:rPr>
          <w:rFonts w:ascii="Times New Roman" w:hAnsi="Times New Roman" w:cs="Times New Roman"/>
          <w:sz w:val="20"/>
          <w:szCs w:val="20"/>
        </w:rPr>
      </w:pPr>
      <w:r w:rsidRPr="00682B94">
        <w:rPr>
          <w:rFonts w:ascii="Times New Roman" w:hAnsi="Times New Roman" w:cs="Times New Roman"/>
          <w:b/>
          <w:sz w:val="20"/>
          <w:szCs w:val="20"/>
        </w:rPr>
        <w:t>Rhode Island Prevention Resource Center</w:t>
      </w:r>
      <w:r w:rsidRPr="00682B94">
        <w:rPr>
          <w:rFonts w:ascii="Times New Roman" w:hAnsi="Times New Roman" w:cs="Times New Roman"/>
          <w:sz w:val="20"/>
          <w:szCs w:val="20"/>
        </w:rPr>
        <w:t xml:space="preserve"> (RIPRC) </w:t>
      </w:r>
      <w:r w:rsidR="006D2F95" w:rsidRPr="00682B94">
        <w:rPr>
          <w:rFonts w:ascii="Times New Roman" w:hAnsi="Times New Roman" w:cs="Times New Roman"/>
          <w:sz w:val="20"/>
          <w:szCs w:val="20"/>
        </w:rPr>
        <w:t>–</w:t>
      </w:r>
      <w:r w:rsidR="00475F3D" w:rsidRPr="00682B94">
        <w:rPr>
          <w:rFonts w:ascii="Times New Roman" w:hAnsi="Times New Roman" w:cs="Times New Roman"/>
          <w:sz w:val="20"/>
          <w:szCs w:val="20"/>
        </w:rPr>
        <w:t xml:space="preserve"> </w:t>
      </w:r>
      <w:r w:rsidR="006D2F95" w:rsidRPr="00682B94">
        <w:rPr>
          <w:rFonts w:ascii="Times New Roman" w:hAnsi="Times New Roman" w:cs="Times New Roman"/>
          <w:sz w:val="20"/>
          <w:szCs w:val="20"/>
        </w:rPr>
        <w:t xml:space="preserve">provides training and technical assistance resource to Rhode Island substance abuse prevention providers. The Center fosters state and local collaboration to prevent substance abuse and other risk-taking behaviors in Rhode Island. </w:t>
      </w:r>
    </w:p>
    <w:p w:rsidR="00A16790" w:rsidRPr="00682B94" w:rsidRDefault="00A16790"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 xml:space="preserve">Enforcing Underage Drinking Laws- </w:t>
      </w:r>
      <w:r w:rsidRPr="00682B94">
        <w:rPr>
          <w:rFonts w:ascii="Times New Roman" w:hAnsi="Times New Roman" w:cs="Times New Roman"/>
          <w:sz w:val="20"/>
          <w:szCs w:val="20"/>
        </w:rPr>
        <w:t>the overall purpose of EUDL is to effect population level reductions in underage drinking and reduce youth access to alcohol through policy, awareness and enforcement strategies. Mothers Against Drunk Driving (MADD) convenes a Statewide Advisory Committee.</w:t>
      </w:r>
    </w:p>
    <w:p w:rsidR="002C32B3" w:rsidRPr="00682B94" w:rsidRDefault="0068651D"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FDA Tobacco Compliance Check Inspection Program</w:t>
      </w:r>
      <w:r w:rsidR="00136D6A" w:rsidRPr="00682B94">
        <w:rPr>
          <w:rFonts w:ascii="Times New Roman" w:hAnsi="Times New Roman" w:cs="Times New Roman"/>
          <w:sz w:val="20"/>
          <w:szCs w:val="20"/>
        </w:rPr>
        <w:t xml:space="preserve"> – e</w:t>
      </w:r>
      <w:r w:rsidR="00475F3D" w:rsidRPr="00682B94">
        <w:rPr>
          <w:rFonts w:ascii="Times New Roman" w:hAnsi="Times New Roman" w:cs="Times New Roman"/>
          <w:sz w:val="20"/>
          <w:szCs w:val="20"/>
        </w:rPr>
        <w:t>nforce</w:t>
      </w:r>
      <w:r w:rsidR="00005425" w:rsidRPr="00682B94">
        <w:rPr>
          <w:rFonts w:ascii="Times New Roman" w:hAnsi="Times New Roman" w:cs="Times New Roman"/>
          <w:sz w:val="20"/>
          <w:szCs w:val="20"/>
        </w:rPr>
        <w:t>s</w:t>
      </w:r>
      <w:r w:rsidRPr="00682B94">
        <w:rPr>
          <w:rFonts w:ascii="Times New Roman" w:hAnsi="Times New Roman" w:cs="Times New Roman"/>
          <w:sz w:val="20"/>
          <w:szCs w:val="20"/>
        </w:rPr>
        <w:t xml:space="preserve"> certain </w:t>
      </w:r>
      <w:r w:rsidR="00021005" w:rsidRPr="00682B94">
        <w:rPr>
          <w:rFonts w:ascii="Times New Roman" w:hAnsi="Times New Roman" w:cs="Times New Roman"/>
          <w:sz w:val="20"/>
          <w:szCs w:val="20"/>
        </w:rPr>
        <w:t xml:space="preserve">previsions of the federal smoking prevention and tobacco control. BHDDH </w:t>
      </w:r>
      <w:r w:rsidR="00746EC4" w:rsidRPr="00682B94">
        <w:rPr>
          <w:rFonts w:ascii="Times New Roman" w:hAnsi="Times New Roman" w:cs="Times New Roman"/>
          <w:sz w:val="20"/>
          <w:szCs w:val="20"/>
        </w:rPr>
        <w:t>contracted for last three years</w:t>
      </w:r>
      <w:r w:rsidR="00021005" w:rsidRPr="00682B94">
        <w:rPr>
          <w:rFonts w:ascii="Times New Roman" w:hAnsi="Times New Roman" w:cs="Times New Roman"/>
          <w:sz w:val="20"/>
          <w:szCs w:val="20"/>
        </w:rPr>
        <w:t xml:space="preserve"> on behalf of the State with FDA to conduct compliance inspections of all retail tobacco outlets in the State of Rhode Island. Today approximate</w:t>
      </w:r>
      <w:r w:rsidR="00746EC4" w:rsidRPr="00682B94">
        <w:rPr>
          <w:rFonts w:ascii="Times New Roman" w:hAnsi="Times New Roman" w:cs="Times New Roman"/>
          <w:sz w:val="20"/>
          <w:szCs w:val="20"/>
        </w:rPr>
        <w:t>ly 5,000 inspections have been conducted.</w:t>
      </w:r>
    </w:p>
    <w:p w:rsidR="002C32B3" w:rsidRPr="00682B94" w:rsidRDefault="002C32B3" w:rsidP="00025FE7">
      <w:pPr>
        <w:spacing w:line="240" w:lineRule="auto"/>
        <w:rPr>
          <w:rFonts w:ascii="Times New Roman" w:hAnsi="Times New Roman" w:cs="Times New Roman"/>
          <w:b/>
          <w:sz w:val="20"/>
          <w:szCs w:val="20"/>
        </w:rPr>
      </w:pPr>
    </w:p>
    <w:sectPr w:rsidR="002C32B3" w:rsidRPr="00682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6E" w:rsidRDefault="00A3796E" w:rsidP="005605B9">
      <w:pPr>
        <w:spacing w:after="0" w:line="240" w:lineRule="auto"/>
      </w:pPr>
      <w:r>
        <w:separator/>
      </w:r>
    </w:p>
  </w:endnote>
  <w:endnote w:type="continuationSeparator" w:id="0">
    <w:p w:rsidR="00A3796E" w:rsidRDefault="00A3796E" w:rsidP="0056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8951"/>
      <w:docPartObj>
        <w:docPartGallery w:val="Page Numbers (Bottom of Page)"/>
        <w:docPartUnique/>
      </w:docPartObj>
    </w:sdtPr>
    <w:sdtEndPr>
      <w:rPr>
        <w:noProof/>
      </w:rPr>
    </w:sdtEndPr>
    <w:sdtContent>
      <w:p w:rsidR="00A3796E" w:rsidRDefault="00A3796E">
        <w:pPr>
          <w:pStyle w:val="Footer"/>
          <w:jc w:val="center"/>
        </w:pPr>
        <w:r>
          <w:fldChar w:fldCharType="begin"/>
        </w:r>
        <w:r>
          <w:instrText xml:space="preserve"> PAGE   \* MERGEFORMAT </w:instrText>
        </w:r>
        <w:r>
          <w:fldChar w:fldCharType="separate"/>
        </w:r>
        <w:r w:rsidR="0009650C">
          <w:rPr>
            <w:noProof/>
          </w:rPr>
          <w:t>5</w:t>
        </w:r>
        <w:r>
          <w:rPr>
            <w:noProof/>
          </w:rPr>
          <w:fldChar w:fldCharType="end"/>
        </w:r>
      </w:p>
    </w:sdtContent>
  </w:sdt>
  <w:p w:rsidR="00A3796E" w:rsidRDefault="00A37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17339"/>
      <w:docPartObj>
        <w:docPartGallery w:val="Page Numbers (Bottom of Page)"/>
        <w:docPartUnique/>
      </w:docPartObj>
    </w:sdtPr>
    <w:sdtEndPr>
      <w:rPr>
        <w:noProof/>
      </w:rPr>
    </w:sdtEndPr>
    <w:sdtContent>
      <w:p w:rsidR="00A3796E" w:rsidRDefault="00A3796E">
        <w:pPr>
          <w:pStyle w:val="Footer"/>
          <w:jc w:val="center"/>
        </w:pPr>
        <w:r>
          <w:fldChar w:fldCharType="begin"/>
        </w:r>
        <w:r>
          <w:instrText xml:space="preserve"> PAGE   \* MERGEFORMAT </w:instrText>
        </w:r>
        <w:r>
          <w:fldChar w:fldCharType="separate"/>
        </w:r>
        <w:r w:rsidR="0009650C">
          <w:rPr>
            <w:noProof/>
          </w:rPr>
          <w:t>1</w:t>
        </w:r>
        <w:r>
          <w:rPr>
            <w:noProof/>
          </w:rPr>
          <w:fldChar w:fldCharType="end"/>
        </w:r>
      </w:p>
    </w:sdtContent>
  </w:sdt>
  <w:p w:rsidR="00A3796E" w:rsidRDefault="00A3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6E" w:rsidRDefault="00A3796E" w:rsidP="005605B9">
      <w:pPr>
        <w:spacing w:after="0" w:line="240" w:lineRule="auto"/>
      </w:pPr>
      <w:r>
        <w:separator/>
      </w:r>
    </w:p>
  </w:footnote>
  <w:footnote w:type="continuationSeparator" w:id="0">
    <w:p w:rsidR="00A3796E" w:rsidRDefault="00A3796E" w:rsidP="00560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6E" w:rsidRDefault="00A3796E">
    <w:pPr>
      <w:pStyle w:val="Header"/>
    </w:pPr>
    <w:r>
      <w:t xml:space="preserve">Draft Governor’s Council Presentation </w:t>
    </w:r>
  </w:p>
  <w:p w:rsidR="00A3796E" w:rsidRDefault="00A3796E">
    <w:pPr>
      <w:pStyle w:val="Header"/>
    </w:pPr>
    <w:r>
      <w:t>8/5/14</w:t>
    </w:r>
  </w:p>
  <w:p w:rsidR="00A3796E" w:rsidRDefault="00A37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243"/>
    <w:multiLevelType w:val="hybridMultilevel"/>
    <w:tmpl w:val="DA86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47C77"/>
    <w:multiLevelType w:val="hybridMultilevel"/>
    <w:tmpl w:val="785E237A"/>
    <w:lvl w:ilvl="0" w:tplc="52D64928">
      <w:start w:val="1"/>
      <w:numFmt w:val="bullet"/>
      <w:lvlText w:val="•"/>
      <w:lvlJc w:val="left"/>
      <w:pPr>
        <w:tabs>
          <w:tab w:val="num" w:pos="720"/>
        </w:tabs>
        <w:ind w:left="720" w:hanging="360"/>
      </w:pPr>
      <w:rPr>
        <w:rFonts w:ascii="Arial" w:hAnsi="Arial" w:hint="default"/>
      </w:rPr>
    </w:lvl>
    <w:lvl w:ilvl="1" w:tplc="FC76C27C" w:tentative="1">
      <w:start w:val="1"/>
      <w:numFmt w:val="bullet"/>
      <w:lvlText w:val="•"/>
      <w:lvlJc w:val="left"/>
      <w:pPr>
        <w:tabs>
          <w:tab w:val="num" w:pos="1440"/>
        </w:tabs>
        <w:ind w:left="1440" w:hanging="360"/>
      </w:pPr>
      <w:rPr>
        <w:rFonts w:ascii="Arial" w:hAnsi="Arial" w:hint="default"/>
      </w:rPr>
    </w:lvl>
    <w:lvl w:ilvl="2" w:tplc="A448EF62" w:tentative="1">
      <w:start w:val="1"/>
      <w:numFmt w:val="bullet"/>
      <w:lvlText w:val="•"/>
      <w:lvlJc w:val="left"/>
      <w:pPr>
        <w:tabs>
          <w:tab w:val="num" w:pos="2160"/>
        </w:tabs>
        <w:ind w:left="2160" w:hanging="360"/>
      </w:pPr>
      <w:rPr>
        <w:rFonts w:ascii="Arial" w:hAnsi="Arial" w:hint="default"/>
      </w:rPr>
    </w:lvl>
    <w:lvl w:ilvl="3" w:tplc="21A41C70" w:tentative="1">
      <w:start w:val="1"/>
      <w:numFmt w:val="bullet"/>
      <w:lvlText w:val="•"/>
      <w:lvlJc w:val="left"/>
      <w:pPr>
        <w:tabs>
          <w:tab w:val="num" w:pos="2880"/>
        </w:tabs>
        <w:ind w:left="2880" w:hanging="360"/>
      </w:pPr>
      <w:rPr>
        <w:rFonts w:ascii="Arial" w:hAnsi="Arial" w:hint="default"/>
      </w:rPr>
    </w:lvl>
    <w:lvl w:ilvl="4" w:tplc="339A03FC" w:tentative="1">
      <w:start w:val="1"/>
      <w:numFmt w:val="bullet"/>
      <w:lvlText w:val="•"/>
      <w:lvlJc w:val="left"/>
      <w:pPr>
        <w:tabs>
          <w:tab w:val="num" w:pos="3600"/>
        </w:tabs>
        <w:ind w:left="3600" w:hanging="360"/>
      </w:pPr>
      <w:rPr>
        <w:rFonts w:ascii="Arial" w:hAnsi="Arial" w:hint="default"/>
      </w:rPr>
    </w:lvl>
    <w:lvl w:ilvl="5" w:tplc="43FCAE20" w:tentative="1">
      <w:start w:val="1"/>
      <w:numFmt w:val="bullet"/>
      <w:lvlText w:val="•"/>
      <w:lvlJc w:val="left"/>
      <w:pPr>
        <w:tabs>
          <w:tab w:val="num" w:pos="4320"/>
        </w:tabs>
        <w:ind w:left="4320" w:hanging="360"/>
      </w:pPr>
      <w:rPr>
        <w:rFonts w:ascii="Arial" w:hAnsi="Arial" w:hint="default"/>
      </w:rPr>
    </w:lvl>
    <w:lvl w:ilvl="6" w:tplc="7A741D76" w:tentative="1">
      <w:start w:val="1"/>
      <w:numFmt w:val="bullet"/>
      <w:lvlText w:val="•"/>
      <w:lvlJc w:val="left"/>
      <w:pPr>
        <w:tabs>
          <w:tab w:val="num" w:pos="5040"/>
        </w:tabs>
        <w:ind w:left="5040" w:hanging="360"/>
      </w:pPr>
      <w:rPr>
        <w:rFonts w:ascii="Arial" w:hAnsi="Arial" w:hint="default"/>
      </w:rPr>
    </w:lvl>
    <w:lvl w:ilvl="7" w:tplc="B980F2D8" w:tentative="1">
      <w:start w:val="1"/>
      <w:numFmt w:val="bullet"/>
      <w:lvlText w:val="•"/>
      <w:lvlJc w:val="left"/>
      <w:pPr>
        <w:tabs>
          <w:tab w:val="num" w:pos="5760"/>
        </w:tabs>
        <w:ind w:left="5760" w:hanging="360"/>
      </w:pPr>
      <w:rPr>
        <w:rFonts w:ascii="Arial" w:hAnsi="Arial" w:hint="default"/>
      </w:rPr>
    </w:lvl>
    <w:lvl w:ilvl="8" w:tplc="FFA4CFA0" w:tentative="1">
      <w:start w:val="1"/>
      <w:numFmt w:val="bullet"/>
      <w:lvlText w:val="•"/>
      <w:lvlJc w:val="left"/>
      <w:pPr>
        <w:tabs>
          <w:tab w:val="num" w:pos="6480"/>
        </w:tabs>
        <w:ind w:left="6480" w:hanging="360"/>
      </w:pPr>
      <w:rPr>
        <w:rFonts w:ascii="Arial" w:hAnsi="Arial" w:hint="default"/>
      </w:rPr>
    </w:lvl>
  </w:abstractNum>
  <w:abstractNum w:abstractNumId="2">
    <w:nsid w:val="4B177BAB"/>
    <w:multiLevelType w:val="hybridMultilevel"/>
    <w:tmpl w:val="642C8694"/>
    <w:lvl w:ilvl="0" w:tplc="6A5A663E">
      <w:start w:val="1"/>
      <w:numFmt w:val="bullet"/>
      <w:lvlText w:val="•"/>
      <w:lvlJc w:val="left"/>
      <w:pPr>
        <w:tabs>
          <w:tab w:val="num" w:pos="720"/>
        </w:tabs>
        <w:ind w:left="720" w:hanging="360"/>
      </w:pPr>
      <w:rPr>
        <w:rFonts w:ascii="Times New Roman" w:hAnsi="Times New Roman" w:hint="default"/>
      </w:rPr>
    </w:lvl>
    <w:lvl w:ilvl="1" w:tplc="DB888AE0" w:tentative="1">
      <w:start w:val="1"/>
      <w:numFmt w:val="bullet"/>
      <w:lvlText w:val="•"/>
      <w:lvlJc w:val="left"/>
      <w:pPr>
        <w:tabs>
          <w:tab w:val="num" w:pos="1440"/>
        </w:tabs>
        <w:ind w:left="1440" w:hanging="360"/>
      </w:pPr>
      <w:rPr>
        <w:rFonts w:ascii="Times New Roman" w:hAnsi="Times New Roman" w:hint="default"/>
      </w:rPr>
    </w:lvl>
    <w:lvl w:ilvl="2" w:tplc="5F025AC6" w:tentative="1">
      <w:start w:val="1"/>
      <w:numFmt w:val="bullet"/>
      <w:lvlText w:val="•"/>
      <w:lvlJc w:val="left"/>
      <w:pPr>
        <w:tabs>
          <w:tab w:val="num" w:pos="2160"/>
        </w:tabs>
        <w:ind w:left="2160" w:hanging="360"/>
      </w:pPr>
      <w:rPr>
        <w:rFonts w:ascii="Times New Roman" w:hAnsi="Times New Roman" w:hint="default"/>
      </w:rPr>
    </w:lvl>
    <w:lvl w:ilvl="3" w:tplc="F9EED7DA" w:tentative="1">
      <w:start w:val="1"/>
      <w:numFmt w:val="bullet"/>
      <w:lvlText w:val="•"/>
      <w:lvlJc w:val="left"/>
      <w:pPr>
        <w:tabs>
          <w:tab w:val="num" w:pos="2880"/>
        </w:tabs>
        <w:ind w:left="2880" w:hanging="360"/>
      </w:pPr>
      <w:rPr>
        <w:rFonts w:ascii="Times New Roman" w:hAnsi="Times New Roman" w:hint="default"/>
      </w:rPr>
    </w:lvl>
    <w:lvl w:ilvl="4" w:tplc="847625C0" w:tentative="1">
      <w:start w:val="1"/>
      <w:numFmt w:val="bullet"/>
      <w:lvlText w:val="•"/>
      <w:lvlJc w:val="left"/>
      <w:pPr>
        <w:tabs>
          <w:tab w:val="num" w:pos="3600"/>
        </w:tabs>
        <w:ind w:left="3600" w:hanging="360"/>
      </w:pPr>
      <w:rPr>
        <w:rFonts w:ascii="Times New Roman" w:hAnsi="Times New Roman" w:hint="default"/>
      </w:rPr>
    </w:lvl>
    <w:lvl w:ilvl="5" w:tplc="943E9C70" w:tentative="1">
      <w:start w:val="1"/>
      <w:numFmt w:val="bullet"/>
      <w:lvlText w:val="•"/>
      <w:lvlJc w:val="left"/>
      <w:pPr>
        <w:tabs>
          <w:tab w:val="num" w:pos="4320"/>
        </w:tabs>
        <w:ind w:left="4320" w:hanging="360"/>
      </w:pPr>
      <w:rPr>
        <w:rFonts w:ascii="Times New Roman" w:hAnsi="Times New Roman" w:hint="default"/>
      </w:rPr>
    </w:lvl>
    <w:lvl w:ilvl="6" w:tplc="0E10D3D6" w:tentative="1">
      <w:start w:val="1"/>
      <w:numFmt w:val="bullet"/>
      <w:lvlText w:val="•"/>
      <w:lvlJc w:val="left"/>
      <w:pPr>
        <w:tabs>
          <w:tab w:val="num" w:pos="5040"/>
        </w:tabs>
        <w:ind w:left="5040" w:hanging="360"/>
      </w:pPr>
      <w:rPr>
        <w:rFonts w:ascii="Times New Roman" w:hAnsi="Times New Roman" w:hint="default"/>
      </w:rPr>
    </w:lvl>
    <w:lvl w:ilvl="7" w:tplc="62165588" w:tentative="1">
      <w:start w:val="1"/>
      <w:numFmt w:val="bullet"/>
      <w:lvlText w:val="•"/>
      <w:lvlJc w:val="left"/>
      <w:pPr>
        <w:tabs>
          <w:tab w:val="num" w:pos="5760"/>
        </w:tabs>
        <w:ind w:left="5760" w:hanging="360"/>
      </w:pPr>
      <w:rPr>
        <w:rFonts w:ascii="Times New Roman" w:hAnsi="Times New Roman" w:hint="default"/>
      </w:rPr>
    </w:lvl>
    <w:lvl w:ilvl="8" w:tplc="B50402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7843C64"/>
    <w:multiLevelType w:val="hybridMultilevel"/>
    <w:tmpl w:val="30849374"/>
    <w:lvl w:ilvl="0" w:tplc="5D0E67CE">
      <w:start w:val="1"/>
      <w:numFmt w:val="bullet"/>
      <w:lvlText w:val="•"/>
      <w:lvlJc w:val="left"/>
      <w:pPr>
        <w:tabs>
          <w:tab w:val="num" w:pos="720"/>
        </w:tabs>
        <w:ind w:left="720" w:hanging="360"/>
      </w:pPr>
      <w:rPr>
        <w:rFonts w:ascii="Times New Roman" w:hAnsi="Times New Roman" w:hint="default"/>
      </w:rPr>
    </w:lvl>
    <w:lvl w:ilvl="1" w:tplc="D204A194" w:tentative="1">
      <w:start w:val="1"/>
      <w:numFmt w:val="bullet"/>
      <w:lvlText w:val="•"/>
      <w:lvlJc w:val="left"/>
      <w:pPr>
        <w:tabs>
          <w:tab w:val="num" w:pos="1440"/>
        </w:tabs>
        <w:ind w:left="1440" w:hanging="360"/>
      </w:pPr>
      <w:rPr>
        <w:rFonts w:ascii="Times New Roman" w:hAnsi="Times New Roman" w:hint="default"/>
      </w:rPr>
    </w:lvl>
    <w:lvl w:ilvl="2" w:tplc="2D48A33C" w:tentative="1">
      <w:start w:val="1"/>
      <w:numFmt w:val="bullet"/>
      <w:lvlText w:val="•"/>
      <w:lvlJc w:val="left"/>
      <w:pPr>
        <w:tabs>
          <w:tab w:val="num" w:pos="2160"/>
        </w:tabs>
        <w:ind w:left="2160" w:hanging="360"/>
      </w:pPr>
      <w:rPr>
        <w:rFonts w:ascii="Times New Roman" w:hAnsi="Times New Roman" w:hint="default"/>
      </w:rPr>
    </w:lvl>
    <w:lvl w:ilvl="3" w:tplc="DD14024A" w:tentative="1">
      <w:start w:val="1"/>
      <w:numFmt w:val="bullet"/>
      <w:lvlText w:val="•"/>
      <w:lvlJc w:val="left"/>
      <w:pPr>
        <w:tabs>
          <w:tab w:val="num" w:pos="2880"/>
        </w:tabs>
        <w:ind w:left="2880" w:hanging="360"/>
      </w:pPr>
      <w:rPr>
        <w:rFonts w:ascii="Times New Roman" w:hAnsi="Times New Roman" w:hint="default"/>
      </w:rPr>
    </w:lvl>
    <w:lvl w:ilvl="4" w:tplc="2B524648" w:tentative="1">
      <w:start w:val="1"/>
      <w:numFmt w:val="bullet"/>
      <w:lvlText w:val="•"/>
      <w:lvlJc w:val="left"/>
      <w:pPr>
        <w:tabs>
          <w:tab w:val="num" w:pos="3600"/>
        </w:tabs>
        <w:ind w:left="3600" w:hanging="360"/>
      </w:pPr>
      <w:rPr>
        <w:rFonts w:ascii="Times New Roman" w:hAnsi="Times New Roman" w:hint="default"/>
      </w:rPr>
    </w:lvl>
    <w:lvl w:ilvl="5" w:tplc="C45EC38C" w:tentative="1">
      <w:start w:val="1"/>
      <w:numFmt w:val="bullet"/>
      <w:lvlText w:val="•"/>
      <w:lvlJc w:val="left"/>
      <w:pPr>
        <w:tabs>
          <w:tab w:val="num" w:pos="4320"/>
        </w:tabs>
        <w:ind w:left="4320" w:hanging="360"/>
      </w:pPr>
      <w:rPr>
        <w:rFonts w:ascii="Times New Roman" w:hAnsi="Times New Roman" w:hint="default"/>
      </w:rPr>
    </w:lvl>
    <w:lvl w:ilvl="6" w:tplc="672A4742" w:tentative="1">
      <w:start w:val="1"/>
      <w:numFmt w:val="bullet"/>
      <w:lvlText w:val="•"/>
      <w:lvlJc w:val="left"/>
      <w:pPr>
        <w:tabs>
          <w:tab w:val="num" w:pos="5040"/>
        </w:tabs>
        <w:ind w:left="5040" w:hanging="360"/>
      </w:pPr>
      <w:rPr>
        <w:rFonts w:ascii="Times New Roman" w:hAnsi="Times New Roman" w:hint="default"/>
      </w:rPr>
    </w:lvl>
    <w:lvl w:ilvl="7" w:tplc="08AE7302" w:tentative="1">
      <w:start w:val="1"/>
      <w:numFmt w:val="bullet"/>
      <w:lvlText w:val="•"/>
      <w:lvlJc w:val="left"/>
      <w:pPr>
        <w:tabs>
          <w:tab w:val="num" w:pos="5760"/>
        </w:tabs>
        <w:ind w:left="5760" w:hanging="360"/>
      </w:pPr>
      <w:rPr>
        <w:rFonts w:ascii="Times New Roman" w:hAnsi="Times New Roman" w:hint="default"/>
      </w:rPr>
    </w:lvl>
    <w:lvl w:ilvl="8" w:tplc="B52CDF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B924B50"/>
    <w:multiLevelType w:val="hybridMultilevel"/>
    <w:tmpl w:val="12AE0458"/>
    <w:lvl w:ilvl="0" w:tplc="E68047E0">
      <w:start w:val="1"/>
      <w:numFmt w:val="bullet"/>
      <w:lvlText w:val="•"/>
      <w:lvlJc w:val="left"/>
      <w:pPr>
        <w:tabs>
          <w:tab w:val="num" w:pos="720"/>
        </w:tabs>
        <w:ind w:left="720" w:hanging="360"/>
      </w:pPr>
      <w:rPr>
        <w:rFonts w:ascii="Times New Roman" w:hAnsi="Times New Roman" w:hint="default"/>
      </w:rPr>
    </w:lvl>
    <w:lvl w:ilvl="1" w:tplc="D67047AA" w:tentative="1">
      <w:start w:val="1"/>
      <w:numFmt w:val="bullet"/>
      <w:lvlText w:val="•"/>
      <w:lvlJc w:val="left"/>
      <w:pPr>
        <w:tabs>
          <w:tab w:val="num" w:pos="1440"/>
        </w:tabs>
        <w:ind w:left="1440" w:hanging="360"/>
      </w:pPr>
      <w:rPr>
        <w:rFonts w:ascii="Times New Roman" w:hAnsi="Times New Roman" w:hint="default"/>
      </w:rPr>
    </w:lvl>
    <w:lvl w:ilvl="2" w:tplc="A57894C6" w:tentative="1">
      <w:start w:val="1"/>
      <w:numFmt w:val="bullet"/>
      <w:lvlText w:val="•"/>
      <w:lvlJc w:val="left"/>
      <w:pPr>
        <w:tabs>
          <w:tab w:val="num" w:pos="2160"/>
        </w:tabs>
        <w:ind w:left="2160" w:hanging="360"/>
      </w:pPr>
      <w:rPr>
        <w:rFonts w:ascii="Times New Roman" w:hAnsi="Times New Roman" w:hint="default"/>
      </w:rPr>
    </w:lvl>
    <w:lvl w:ilvl="3" w:tplc="16A8986A" w:tentative="1">
      <w:start w:val="1"/>
      <w:numFmt w:val="bullet"/>
      <w:lvlText w:val="•"/>
      <w:lvlJc w:val="left"/>
      <w:pPr>
        <w:tabs>
          <w:tab w:val="num" w:pos="2880"/>
        </w:tabs>
        <w:ind w:left="2880" w:hanging="360"/>
      </w:pPr>
      <w:rPr>
        <w:rFonts w:ascii="Times New Roman" w:hAnsi="Times New Roman" w:hint="default"/>
      </w:rPr>
    </w:lvl>
    <w:lvl w:ilvl="4" w:tplc="AA6C6698" w:tentative="1">
      <w:start w:val="1"/>
      <w:numFmt w:val="bullet"/>
      <w:lvlText w:val="•"/>
      <w:lvlJc w:val="left"/>
      <w:pPr>
        <w:tabs>
          <w:tab w:val="num" w:pos="3600"/>
        </w:tabs>
        <w:ind w:left="3600" w:hanging="360"/>
      </w:pPr>
      <w:rPr>
        <w:rFonts w:ascii="Times New Roman" w:hAnsi="Times New Roman" w:hint="default"/>
      </w:rPr>
    </w:lvl>
    <w:lvl w:ilvl="5" w:tplc="3D00BDEE" w:tentative="1">
      <w:start w:val="1"/>
      <w:numFmt w:val="bullet"/>
      <w:lvlText w:val="•"/>
      <w:lvlJc w:val="left"/>
      <w:pPr>
        <w:tabs>
          <w:tab w:val="num" w:pos="4320"/>
        </w:tabs>
        <w:ind w:left="4320" w:hanging="360"/>
      </w:pPr>
      <w:rPr>
        <w:rFonts w:ascii="Times New Roman" w:hAnsi="Times New Roman" w:hint="default"/>
      </w:rPr>
    </w:lvl>
    <w:lvl w:ilvl="6" w:tplc="DFE4D074" w:tentative="1">
      <w:start w:val="1"/>
      <w:numFmt w:val="bullet"/>
      <w:lvlText w:val="•"/>
      <w:lvlJc w:val="left"/>
      <w:pPr>
        <w:tabs>
          <w:tab w:val="num" w:pos="5040"/>
        </w:tabs>
        <w:ind w:left="5040" w:hanging="360"/>
      </w:pPr>
      <w:rPr>
        <w:rFonts w:ascii="Times New Roman" w:hAnsi="Times New Roman" w:hint="default"/>
      </w:rPr>
    </w:lvl>
    <w:lvl w:ilvl="7" w:tplc="6F127C66" w:tentative="1">
      <w:start w:val="1"/>
      <w:numFmt w:val="bullet"/>
      <w:lvlText w:val="•"/>
      <w:lvlJc w:val="left"/>
      <w:pPr>
        <w:tabs>
          <w:tab w:val="num" w:pos="5760"/>
        </w:tabs>
        <w:ind w:left="5760" w:hanging="360"/>
      </w:pPr>
      <w:rPr>
        <w:rFonts w:ascii="Times New Roman" w:hAnsi="Times New Roman" w:hint="default"/>
      </w:rPr>
    </w:lvl>
    <w:lvl w:ilvl="8" w:tplc="C72EE1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9E196E"/>
    <w:multiLevelType w:val="hybridMultilevel"/>
    <w:tmpl w:val="6C7AF5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790473C"/>
    <w:multiLevelType w:val="hybridMultilevel"/>
    <w:tmpl w:val="231A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4434D"/>
    <w:multiLevelType w:val="multilevel"/>
    <w:tmpl w:val="215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3109E0"/>
    <w:multiLevelType w:val="hybridMultilevel"/>
    <w:tmpl w:val="9A308ED8"/>
    <w:lvl w:ilvl="0" w:tplc="B7CC7A4E">
      <w:start w:val="2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83"/>
    <w:rsid w:val="00005425"/>
    <w:rsid w:val="000148AB"/>
    <w:rsid w:val="00021005"/>
    <w:rsid w:val="000241E0"/>
    <w:rsid w:val="00025FE7"/>
    <w:rsid w:val="000563CF"/>
    <w:rsid w:val="00077297"/>
    <w:rsid w:val="0009650C"/>
    <w:rsid w:val="00135E42"/>
    <w:rsid w:val="00136D6A"/>
    <w:rsid w:val="0019186D"/>
    <w:rsid w:val="00197A8D"/>
    <w:rsid w:val="001D410B"/>
    <w:rsid w:val="0022238E"/>
    <w:rsid w:val="002615DE"/>
    <w:rsid w:val="002615E7"/>
    <w:rsid w:val="0026289E"/>
    <w:rsid w:val="00272E88"/>
    <w:rsid w:val="002C32B3"/>
    <w:rsid w:val="002E79D8"/>
    <w:rsid w:val="002F3B8C"/>
    <w:rsid w:val="00334196"/>
    <w:rsid w:val="00335628"/>
    <w:rsid w:val="00341C8E"/>
    <w:rsid w:val="003818FB"/>
    <w:rsid w:val="00423F1A"/>
    <w:rsid w:val="0042529F"/>
    <w:rsid w:val="00475F3D"/>
    <w:rsid w:val="004C79AE"/>
    <w:rsid w:val="00536078"/>
    <w:rsid w:val="005605B9"/>
    <w:rsid w:val="00577725"/>
    <w:rsid w:val="005C5CCD"/>
    <w:rsid w:val="00646BAD"/>
    <w:rsid w:val="00652CB9"/>
    <w:rsid w:val="006530BC"/>
    <w:rsid w:val="00666CE1"/>
    <w:rsid w:val="00682B94"/>
    <w:rsid w:val="0068651D"/>
    <w:rsid w:val="006C6833"/>
    <w:rsid w:val="006D2F95"/>
    <w:rsid w:val="006E255D"/>
    <w:rsid w:val="006F468B"/>
    <w:rsid w:val="00720A5F"/>
    <w:rsid w:val="00746EC4"/>
    <w:rsid w:val="00805478"/>
    <w:rsid w:val="008367DA"/>
    <w:rsid w:val="008814C6"/>
    <w:rsid w:val="008C1148"/>
    <w:rsid w:val="00932CAA"/>
    <w:rsid w:val="00980420"/>
    <w:rsid w:val="009E50E0"/>
    <w:rsid w:val="009E59E1"/>
    <w:rsid w:val="00A060DA"/>
    <w:rsid w:val="00A16790"/>
    <w:rsid w:val="00A26F1F"/>
    <w:rsid w:val="00A32D6A"/>
    <w:rsid w:val="00A3796E"/>
    <w:rsid w:val="00AC6204"/>
    <w:rsid w:val="00AE1BC8"/>
    <w:rsid w:val="00B23C33"/>
    <w:rsid w:val="00BA17F7"/>
    <w:rsid w:val="00C118B8"/>
    <w:rsid w:val="00C2112B"/>
    <w:rsid w:val="00C8487E"/>
    <w:rsid w:val="00C84B2B"/>
    <w:rsid w:val="00C94513"/>
    <w:rsid w:val="00CB1EFC"/>
    <w:rsid w:val="00CF4462"/>
    <w:rsid w:val="00D0002D"/>
    <w:rsid w:val="00D218CF"/>
    <w:rsid w:val="00D854DE"/>
    <w:rsid w:val="00E9095B"/>
    <w:rsid w:val="00ED29E0"/>
    <w:rsid w:val="00F50C3B"/>
    <w:rsid w:val="00F53A84"/>
    <w:rsid w:val="00F81457"/>
    <w:rsid w:val="00F83D04"/>
    <w:rsid w:val="00F9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3D"/>
    <w:rPr>
      <w:rFonts w:ascii="Tahoma" w:hAnsi="Tahoma" w:cs="Tahoma"/>
      <w:sz w:val="16"/>
      <w:szCs w:val="16"/>
    </w:rPr>
  </w:style>
  <w:style w:type="table" w:styleId="LightList-Accent1">
    <w:name w:val="Light List Accent 1"/>
    <w:basedOn w:val="TableNormal"/>
    <w:uiPriority w:val="61"/>
    <w:rsid w:val="00646BAD"/>
    <w:pPr>
      <w:spacing w:after="0" w:line="240" w:lineRule="auto"/>
    </w:pPr>
    <w:rPr>
      <w:rFonts w:ascii="Cambria" w:eastAsia="Cambria" w:hAnsi="Cambria"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
    <w:name w:val="paragraph"/>
    <w:aliases w:val="par,pa"/>
    <w:basedOn w:val="Normal"/>
    <w:uiPriority w:val="99"/>
    <w:rsid w:val="0042529F"/>
    <w:pPr>
      <w:spacing w:after="160" w:line="240" w:lineRule="auto"/>
      <w:ind w:right="-720"/>
    </w:pPr>
    <w:rPr>
      <w:rFonts w:ascii="Times" w:eastAsia="Times New Roman" w:hAnsi="Times" w:cs="Times New Roman"/>
      <w:sz w:val="24"/>
      <w:szCs w:val="24"/>
    </w:rPr>
  </w:style>
  <w:style w:type="paragraph" w:styleId="BodyText">
    <w:name w:val="Body Text"/>
    <w:basedOn w:val="Normal"/>
    <w:link w:val="BodyTextChar"/>
    <w:rsid w:val="0042529F"/>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rsid w:val="0042529F"/>
    <w:rPr>
      <w:rFonts w:ascii="Times New Roman" w:eastAsia="Times New Roman" w:hAnsi="Times New Roman" w:cs="Times New Roman"/>
      <w:sz w:val="28"/>
      <w:szCs w:val="24"/>
      <w:lang w:eastAsia="ar-SA"/>
    </w:rPr>
  </w:style>
  <w:style w:type="paragraph" w:customStyle="1" w:styleId="Default">
    <w:name w:val="Default"/>
    <w:rsid w:val="006530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D0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3D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B9"/>
  </w:style>
  <w:style w:type="paragraph" w:styleId="Footer">
    <w:name w:val="footer"/>
    <w:basedOn w:val="Normal"/>
    <w:link w:val="FooterChar"/>
    <w:uiPriority w:val="99"/>
    <w:unhideWhenUsed/>
    <w:rsid w:val="0056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B9"/>
  </w:style>
  <w:style w:type="table" w:styleId="TableGrid">
    <w:name w:val="Table Grid"/>
    <w:basedOn w:val="TableNormal"/>
    <w:uiPriority w:val="59"/>
    <w:rsid w:val="0005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3D"/>
    <w:rPr>
      <w:rFonts w:ascii="Tahoma" w:hAnsi="Tahoma" w:cs="Tahoma"/>
      <w:sz w:val="16"/>
      <w:szCs w:val="16"/>
    </w:rPr>
  </w:style>
  <w:style w:type="table" w:styleId="LightList-Accent1">
    <w:name w:val="Light List Accent 1"/>
    <w:basedOn w:val="TableNormal"/>
    <w:uiPriority w:val="61"/>
    <w:rsid w:val="00646BAD"/>
    <w:pPr>
      <w:spacing w:after="0" w:line="240" w:lineRule="auto"/>
    </w:pPr>
    <w:rPr>
      <w:rFonts w:ascii="Cambria" w:eastAsia="Cambria" w:hAnsi="Cambria"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
    <w:name w:val="paragraph"/>
    <w:aliases w:val="par,pa"/>
    <w:basedOn w:val="Normal"/>
    <w:uiPriority w:val="99"/>
    <w:rsid w:val="0042529F"/>
    <w:pPr>
      <w:spacing w:after="160" w:line="240" w:lineRule="auto"/>
      <w:ind w:right="-720"/>
    </w:pPr>
    <w:rPr>
      <w:rFonts w:ascii="Times" w:eastAsia="Times New Roman" w:hAnsi="Times" w:cs="Times New Roman"/>
      <w:sz w:val="24"/>
      <w:szCs w:val="24"/>
    </w:rPr>
  </w:style>
  <w:style w:type="paragraph" w:styleId="BodyText">
    <w:name w:val="Body Text"/>
    <w:basedOn w:val="Normal"/>
    <w:link w:val="BodyTextChar"/>
    <w:rsid w:val="0042529F"/>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rsid w:val="0042529F"/>
    <w:rPr>
      <w:rFonts w:ascii="Times New Roman" w:eastAsia="Times New Roman" w:hAnsi="Times New Roman" w:cs="Times New Roman"/>
      <w:sz w:val="28"/>
      <w:szCs w:val="24"/>
      <w:lang w:eastAsia="ar-SA"/>
    </w:rPr>
  </w:style>
  <w:style w:type="paragraph" w:customStyle="1" w:styleId="Default">
    <w:name w:val="Default"/>
    <w:rsid w:val="006530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D0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3D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B9"/>
  </w:style>
  <w:style w:type="paragraph" w:styleId="Footer">
    <w:name w:val="footer"/>
    <w:basedOn w:val="Normal"/>
    <w:link w:val="FooterChar"/>
    <w:uiPriority w:val="99"/>
    <w:unhideWhenUsed/>
    <w:rsid w:val="0056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B9"/>
  </w:style>
  <w:style w:type="table" w:styleId="TableGrid">
    <w:name w:val="Table Grid"/>
    <w:basedOn w:val="TableNormal"/>
    <w:uiPriority w:val="59"/>
    <w:rsid w:val="0005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2807">
      <w:bodyDiv w:val="1"/>
      <w:marLeft w:val="0"/>
      <w:marRight w:val="0"/>
      <w:marTop w:val="0"/>
      <w:marBottom w:val="0"/>
      <w:divBdr>
        <w:top w:val="none" w:sz="0" w:space="0" w:color="auto"/>
        <w:left w:val="none" w:sz="0" w:space="0" w:color="auto"/>
        <w:bottom w:val="none" w:sz="0" w:space="0" w:color="auto"/>
        <w:right w:val="none" w:sz="0" w:space="0" w:color="auto"/>
      </w:divBdr>
      <w:divsChild>
        <w:div w:id="1946037355">
          <w:marLeft w:val="547"/>
          <w:marRight w:val="0"/>
          <w:marTop w:val="154"/>
          <w:marBottom w:val="0"/>
          <w:divBdr>
            <w:top w:val="none" w:sz="0" w:space="0" w:color="auto"/>
            <w:left w:val="none" w:sz="0" w:space="0" w:color="auto"/>
            <w:bottom w:val="none" w:sz="0" w:space="0" w:color="auto"/>
            <w:right w:val="none" w:sz="0" w:space="0" w:color="auto"/>
          </w:divBdr>
        </w:div>
      </w:divsChild>
    </w:div>
    <w:div w:id="506555462">
      <w:bodyDiv w:val="1"/>
      <w:marLeft w:val="0"/>
      <w:marRight w:val="0"/>
      <w:marTop w:val="0"/>
      <w:marBottom w:val="0"/>
      <w:divBdr>
        <w:top w:val="none" w:sz="0" w:space="0" w:color="auto"/>
        <w:left w:val="none" w:sz="0" w:space="0" w:color="auto"/>
        <w:bottom w:val="none" w:sz="0" w:space="0" w:color="auto"/>
        <w:right w:val="none" w:sz="0" w:space="0" w:color="auto"/>
      </w:divBdr>
    </w:div>
    <w:div w:id="740375643">
      <w:bodyDiv w:val="1"/>
      <w:marLeft w:val="0"/>
      <w:marRight w:val="0"/>
      <w:marTop w:val="0"/>
      <w:marBottom w:val="0"/>
      <w:divBdr>
        <w:top w:val="none" w:sz="0" w:space="0" w:color="auto"/>
        <w:left w:val="none" w:sz="0" w:space="0" w:color="auto"/>
        <w:bottom w:val="none" w:sz="0" w:space="0" w:color="auto"/>
        <w:right w:val="none" w:sz="0" w:space="0" w:color="auto"/>
      </w:divBdr>
    </w:div>
    <w:div w:id="790368092">
      <w:bodyDiv w:val="1"/>
      <w:marLeft w:val="0"/>
      <w:marRight w:val="0"/>
      <w:marTop w:val="0"/>
      <w:marBottom w:val="0"/>
      <w:divBdr>
        <w:top w:val="none" w:sz="0" w:space="0" w:color="auto"/>
        <w:left w:val="none" w:sz="0" w:space="0" w:color="auto"/>
        <w:bottom w:val="none" w:sz="0" w:space="0" w:color="auto"/>
        <w:right w:val="none" w:sz="0" w:space="0" w:color="auto"/>
      </w:divBdr>
      <w:divsChild>
        <w:div w:id="536552975">
          <w:marLeft w:val="547"/>
          <w:marRight w:val="0"/>
          <w:marTop w:val="0"/>
          <w:marBottom w:val="0"/>
          <w:divBdr>
            <w:top w:val="none" w:sz="0" w:space="0" w:color="auto"/>
            <w:left w:val="none" w:sz="0" w:space="0" w:color="auto"/>
            <w:bottom w:val="none" w:sz="0" w:space="0" w:color="auto"/>
            <w:right w:val="none" w:sz="0" w:space="0" w:color="auto"/>
          </w:divBdr>
        </w:div>
      </w:divsChild>
    </w:div>
    <w:div w:id="813714391">
      <w:bodyDiv w:val="1"/>
      <w:marLeft w:val="0"/>
      <w:marRight w:val="0"/>
      <w:marTop w:val="0"/>
      <w:marBottom w:val="0"/>
      <w:divBdr>
        <w:top w:val="none" w:sz="0" w:space="0" w:color="auto"/>
        <w:left w:val="none" w:sz="0" w:space="0" w:color="auto"/>
        <w:bottom w:val="none" w:sz="0" w:space="0" w:color="auto"/>
        <w:right w:val="none" w:sz="0" w:space="0" w:color="auto"/>
      </w:divBdr>
    </w:div>
    <w:div w:id="936719910">
      <w:bodyDiv w:val="1"/>
      <w:marLeft w:val="0"/>
      <w:marRight w:val="0"/>
      <w:marTop w:val="0"/>
      <w:marBottom w:val="0"/>
      <w:divBdr>
        <w:top w:val="none" w:sz="0" w:space="0" w:color="auto"/>
        <w:left w:val="none" w:sz="0" w:space="0" w:color="auto"/>
        <w:bottom w:val="none" w:sz="0" w:space="0" w:color="auto"/>
        <w:right w:val="none" w:sz="0" w:space="0" w:color="auto"/>
      </w:divBdr>
    </w:div>
    <w:div w:id="1329674076">
      <w:bodyDiv w:val="1"/>
      <w:marLeft w:val="0"/>
      <w:marRight w:val="0"/>
      <w:marTop w:val="0"/>
      <w:marBottom w:val="0"/>
      <w:divBdr>
        <w:top w:val="none" w:sz="0" w:space="0" w:color="auto"/>
        <w:left w:val="none" w:sz="0" w:space="0" w:color="auto"/>
        <w:bottom w:val="none" w:sz="0" w:space="0" w:color="auto"/>
        <w:right w:val="none" w:sz="0" w:space="0" w:color="auto"/>
      </w:divBdr>
      <w:divsChild>
        <w:div w:id="1541897323">
          <w:marLeft w:val="547"/>
          <w:marRight w:val="0"/>
          <w:marTop w:val="0"/>
          <w:marBottom w:val="0"/>
          <w:divBdr>
            <w:top w:val="none" w:sz="0" w:space="0" w:color="auto"/>
            <w:left w:val="none" w:sz="0" w:space="0" w:color="auto"/>
            <w:bottom w:val="none" w:sz="0" w:space="0" w:color="auto"/>
            <w:right w:val="none" w:sz="0" w:space="0" w:color="auto"/>
          </w:divBdr>
        </w:div>
      </w:divsChild>
    </w:div>
    <w:div w:id="1446924942">
      <w:bodyDiv w:val="1"/>
      <w:marLeft w:val="0"/>
      <w:marRight w:val="0"/>
      <w:marTop w:val="0"/>
      <w:marBottom w:val="0"/>
      <w:divBdr>
        <w:top w:val="none" w:sz="0" w:space="0" w:color="auto"/>
        <w:left w:val="none" w:sz="0" w:space="0" w:color="auto"/>
        <w:bottom w:val="none" w:sz="0" w:space="0" w:color="auto"/>
        <w:right w:val="none" w:sz="0" w:space="0" w:color="auto"/>
      </w:divBdr>
      <w:divsChild>
        <w:div w:id="58944462">
          <w:marLeft w:val="547"/>
          <w:marRight w:val="0"/>
          <w:marTop w:val="96"/>
          <w:marBottom w:val="0"/>
          <w:divBdr>
            <w:top w:val="none" w:sz="0" w:space="0" w:color="auto"/>
            <w:left w:val="none" w:sz="0" w:space="0" w:color="auto"/>
            <w:bottom w:val="none" w:sz="0" w:space="0" w:color="auto"/>
            <w:right w:val="none" w:sz="0" w:space="0" w:color="auto"/>
          </w:divBdr>
        </w:div>
      </w:divsChild>
    </w:div>
    <w:div w:id="1480224600">
      <w:bodyDiv w:val="1"/>
      <w:marLeft w:val="0"/>
      <w:marRight w:val="0"/>
      <w:marTop w:val="0"/>
      <w:marBottom w:val="0"/>
      <w:divBdr>
        <w:top w:val="none" w:sz="0" w:space="0" w:color="auto"/>
        <w:left w:val="none" w:sz="0" w:space="0" w:color="auto"/>
        <w:bottom w:val="none" w:sz="0" w:space="0" w:color="auto"/>
        <w:right w:val="none" w:sz="0" w:space="0" w:color="auto"/>
      </w:divBdr>
    </w:div>
    <w:div w:id="1491672504">
      <w:bodyDiv w:val="1"/>
      <w:marLeft w:val="0"/>
      <w:marRight w:val="0"/>
      <w:marTop w:val="0"/>
      <w:marBottom w:val="0"/>
      <w:divBdr>
        <w:top w:val="none" w:sz="0" w:space="0" w:color="auto"/>
        <w:left w:val="none" w:sz="0" w:space="0" w:color="auto"/>
        <w:bottom w:val="none" w:sz="0" w:space="0" w:color="auto"/>
        <w:right w:val="none" w:sz="0" w:space="0" w:color="auto"/>
      </w:divBdr>
      <w:divsChild>
        <w:div w:id="198708487">
          <w:marLeft w:val="547"/>
          <w:marRight w:val="0"/>
          <w:marTop w:val="400"/>
          <w:marBottom w:val="0"/>
          <w:divBdr>
            <w:top w:val="none" w:sz="0" w:space="0" w:color="auto"/>
            <w:left w:val="none" w:sz="0" w:space="0" w:color="auto"/>
            <w:bottom w:val="none" w:sz="0" w:space="0" w:color="auto"/>
            <w:right w:val="none" w:sz="0" w:space="0" w:color="auto"/>
          </w:divBdr>
        </w:div>
        <w:div w:id="1116414304">
          <w:marLeft w:val="547"/>
          <w:marRight w:val="0"/>
          <w:marTop w:val="400"/>
          <w:marBottom w:val="0"/>
          <w:divBdr>
            <w:top w:val="none" w:sz="0" w:space="0" w:color="auto"/>
            <w:left w:val="none" w:sz="0" w:space="0" w:color="auto"/>
            <w:bottom w:val="none" w:sz="0" w:space="0" w:color="auto"/>
            <w:right w:val="none" w:sz="0" w:space="0" w:color="auto"/>
          </w:divBdr>
        </w:div>
        <w:div w:id="42215729">
          <w:marLeft w:val="547"/>
          <w:marRight w:val="0"/>
          <w:marTop w:val="400"/>
          <w:marBottom w:val="0"/>
          <w:divBdr>
            <w:top w:val="none" w:sz="0" w:space="0" w:color="auto"/>
            <w:left w:val="none" w:sz="0" w:space="0" w:color="auto"/>
            <w:bottom w:val="none" w:sz="0" w:space="0" w:color="auto"/>
            <w:right w:val="none" w:sz="0" w:space="0" w:color="auto"/>
          </w:divBdr>
        </w:div>
      </w:divsChild>
    </w:div>
    <w:div w:id="1663775884">
      <w:bodyDiv w:val="1"/>
      <w:marLeft w:val="0"/>
      <w:marRight w:val="0"/>
      <w:marTop w:val="0"/>
      <w:marBottom w:val="0"/>
      <w:divBdr>
        <w:top w:val="none" w:sz="0" w:space="0" w:color="auto"/>
        <w:left w:val="none" w:sz="0" w:space="0" w:color="auto"/>
        <w:bottom w:val="none" w:sz="0" w:space="0" w:color="auto"/>
        <w:right w:val="none" w:sz="0" w:space="0" w:color="auto"/>
      </w:divBdr>
      <w:divsChild>
        <w:div w:id="1840541264">
          <w:marLeft w:val="547"/>
          <w:marRight w:val="0"/>
          <w:marTop w:val="86"/>
          <w:marBottom w:val="0"/>
          <w:divBdr>
            <w:top w:val="none" w:sz="0" w:space="0" w:color="auto"/>
            <w:left w:val="none" w:sz="0" w:space="0" w:color="auto"/>
            <w:bottom w:val="none" w:sz="0" w:space="0" w:color="auto"/>
            <w:right w:val="none" w:sz="0" w:space="0" w:color="auto"/>
          </w:divBdr>
        </w:div>
        <w:div w:id="2071070091">
          <w:marLeft w:val="547"/>
          <w:marRight w:val="0"/>
          <w:marTop w:val="86"/>
          <w:marBottom w:val="0"/>
          <w:divBdr>
            <w:top w:val="none" w:sz="0" w:space="0" w:color="auto"/>
            <w:left w:val="none" w:sz="0" w:space="0" w:color="auto"/>
            <w:bottom w:val="none" w:sz="0" w:space="0" w:color="auto"/>
            <w:right w:val="none" w:sz="0" w:space="0" w:color="auto"/>
          </w:divBdr>
        </w:div>
        <w:div w:id="580485098">
          <w:marLeft w:val="547"/>
          <w:marRight w:val="0"/>
          <w:marTop w:val="86"/>
          <w:marBottom w:val="0"/>
          <w:divBdr>
            <w:top w:val="none" w:sz="0" w:space="0" w:color="auto"/>
            <w:left w:val="none" w:sz="0" w:space="0" w:color="auto"/>
            <w:bottom w:val="none" w:sz="0" w:space="0" w:color="auto"/>
            <w:right w:val="none" w:sz="0" w:space="0" w:color="auto"/>
          </w:divBdr>
        </w:div>
        <w:div w:id="1179546147">
          <w:marLeft w:val="547"/>
          <w:marRight w:val="0"/>
          <w:marTop w:val="86"/>
          <w:marBottom w:val="0"/>
          <w:divBdr>
            <w:top w:val="none" w:sz="0" w:space="0" w:color="auto"/>
            <w:left w:val="none" w:sz="0" w:space="0" w:color="auto"/>
            <w:bottom w:val="none" w:sz="0" w:space="0" w:color="auto"/>
            <w:right w:val="none" w:sz="0" w:space="0" w:color="auto"/>
          </w:divBdr>
        </w:div>
        <w:div w:id="1913467109">
          <w:marLeft w:val="547"/>
          <w:marRight w:val="0"/>
          <w:marTop w:val="86"/>
          <w:marBottom w:val="0"/>
          <w:divBdr>
            <w:top w:val="none" w:sz="0" w:space="0" w:color="auto"/>
            <w:left w:val="none" w:sz="0" w:space="0" w:color="auto"/>
            <w:bottom w:val="none" w:sz="0" w:space="0" w:color="auto"/>
            <w:right w:val="none" w:sz="0" w:space="0" w:color="auto"/>
          </w:divBdr>
        </w:div>
        <w:div w:id="1880632005">
          <w:marLeft w:val="547"/>
          <w:marRight w:val="0"/>
          <w:marTop w:val="86"/>
          <w:marBottom w:val="0"/>
          <w:divBdr>
            <w:top w:val="none" w:sz="0" w:space="0" w:color="auto"/>
            <w:left w:val="none" w:sz="0" w:space="0" w:color="auto"/>
            <w:bottom w:val="none" w:sz="0" w:space="0" w:color="auto"/>
            <w:right w:val="none" w:sz="0" w:space="0" w:color="auto"/>
          </w:divBdr>
        </w:div>
        <w:div w:id="655377338">
          <w:marLeft w:val="547"/>
          <w:marRight w:val="0"/>
          <w:marTop w:val="86"/>
          <w:marBottom w:val="0"/>
          <w:divBdr>
            <w:top w:val="none" w:sz="0" w:space="0" w:color="auto"/>
            <w:left w:val="none" w:sz="0" w:space="0" w:color="auto"/>
            <w:bottom w:val="none" w:sz="0" w:space="0" w:color="auto"/>
            <w:right w:val="none" w:sz="0" w:space="0" w:color="auto"/>
          </w:divBdr>
        </w:div>
      </w:divsChild>
    </w:div>
    <w:div w:id="1987011560">
      <w:bodyDiv w:val="1"/>
      <w:marLeft w:val="0"/>
      <w:marRight w:val="0"/>
      <w:marTop w:val="0"/>
      <w:marBottom w:val="0"/>
      <w:divBdr>
        <w:top w:val="none" w:sz="0" w:space="0" w:color="auto"/>
        <w:left w:val="none" w:sz="0" w:space="0" w:color="auto"/>
        <w:bottom w:val="none" w:sz="0" w:space="0" w:color="auto"/>
        <w:right w:val="none" w:sz="0" w:space="0" w:color="auto"/>
      </w:divBdr>
      <w:divsChild>
        <w:div w:id="8573088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8DB4F3-FEDF-5444-9966-83035D2C2A73}" type="doc">
      <dgm:prSet loTypeId="urn:microsoft.com/office/officeart/2005/8/layout/cycle8" loCatId="cycle" qsTypeId="urn:microsoft.com/office/officeart/2005/8/quickstyle/simple4" qsCatId="simple" csTypeId="urn:microsoft.com/office/officeart/2005/8/colors/accent1_2#1" csCatId="accent1" phldr="1"/>
      <dgm:spPr/>
      <dgm:t>
        <a:bodyPr/>
        <a:lstStyle/>
        <a:p>
          <a:endParaRPr lang="en-US"/>
        </a:p>
      </dgm:t>
    </dgm:pt>
    <dgm:pt modelId="{675954C5-4144-A847-88BA-62CBF5A73824}">
      <dgm:prSet phldrT="[Text]"/>
      <dgm:spPr/>
      <dgm:t>
        <a:bodyPr/>
        <a:lstStyle/>
        <a:p>
          <a:r>
            <a:rPr lang="en-US"/>
            <a:t>RISK AND PROTECTIVE FACTORS</a:t>
          </a:r>
        </a:p>
      </dgm:t>
    </dgm:pt>
    <dgm:pt modelId="{B4050E82-D047-7B4B-808C-9DB1692598F8}" type="parTrans" cxnId="{51E3F7DD-2FAF-B34F-B78D-A977BD0ACD57}">
      <dgm:prSet/>
      <dgm:spPr/>
      <dgm:t>
        <a:bodyPr/>
        <a:lstStyle/>
        <a:p>
          <a:endParaRPr lang="en-US"/>
        </a:p>
      </dgm:t>
    </dgm:pt>
    <dgm:pt modelId="{232CA76E-5B68-044F-BB7A-782A4DC9F1AD}" type="sibTrans" cxnId="{51E3F7DD-2FAF-B34F-B78D-A977BD0ACD57}">
      <dgm:prSet/>
      <dgm:spPr/>
      <dgm:t>
        <a:bodyPr/>
        <a:lstStyle/>
        <a:p>
          <a:endParaRPr lang="en-US"/>
        </a:p>
      </dgm:t>
    </dgm:pt>
    <dgm:pt modelId="{12F37688-604D-7042-B90E-3AD4FE30D080}">
      <dgm:prSet phldrT="[Text]"/>
      <dgm:spPr/>
      <dgm:t>
        <a:bodyPr/>
        <a:lstStyle/>
        <a:p>
          <a:r>
            <a:rPr lang="en-US"/>
            <a:t>SUBSTANCE USE AND MENTAL HEALTH DATA (CONSEQUENCES and CONSUMPTION DATA)</a:t>
          </a:r>
        </a:p>
      </dgm:t>
    </dgm:pt>
    <dgm:pt modelId="{ABE3FFD5-057A-2443-A60A-A2A89BF2F631}" type="parTrans" cxnId="{F900912B-D86E-224D-AA33-CCA8D99CFA2E}">
      <dgm:prSet/>
      <dgm:spPr/>
      <dgm:t>
        <a:bodyPr/>
        <a:lstStyle/>
        <a:p>
          <a:endParaRPr lang="en-US"/>
        </a:p>
      </dgm:t>
    </dgm:pt>
    <dgm:pt modelId="{03CB3F99-5A3E-8F4F-B216-DF3C1AB1C787}" type="sibTrans" cxnId="{F900912B-D86E-224D-AA33-CCA8D99CFA2E}">
      <dgm:prSet/>
      <dgm:spPr/>
      <dgm:t>
        <a:bodyPr/>
        <a:lstStyle/>
        <a:p>
          <a:endParaRPr lang="en-US"/>
        </a:p>
      </dgm:t>
    </dgm:pt>
    <dgm:pt modelId="{FCC60C9D-6765-4747-B38C-3B6A809EFD0B}">
      <dgm:prSet phldrT="[Text]"/>
      <dgm:spPr/>
      <dgm:t>
        <a:bodyPr/>
        <a:lstStyle/>
        <a:p>
          <a:r>
            <a:rPr lang="en-US"/>
            <a:t>PREVENTION/POLICY PRACTICES</a:t>
          </a:r>
        </a:p>
      </dgm:t>
    </dgm:pt>
    <dgm:pt modelId="{1413119E-3C30-014F-9AFB-5661A83ABE9D}" type="parTrans" cxnId="{623E045C-7376-D04E-B2E4-36701D13DCA5}">
      <dgm:prSet/>
      <dgm:spPr/>
      <dgm:t>
        <a:bodyPr/>
        <a:lstStyle/>
        <a:p>
          <a:endParaRPr lang="en-US"/>
        </a:p>
      </dgm:t>
    </dgm:pt>
    <dgm:pt modelId="{3A244012-F38F-EB4C-9121-A45ED3EE576C}" type="sibTrans" cxnId="{623E045C-7376-D04E-B2E4-36701D13DCA5}">
      <dgm:prSet/>
      <dgm:spPr/>
      <dgm:t>
        <a:bodyPr/>
        <a:lstStyle/>
        <a:p>
          <a:endParaRPr lang="en-US"/>
        </a:p>
      </dgm:t>
    </dgm:pt>
    <dgm:pt modelId="{A1FD598C-CA21-8044-9C81-5C1A5E68AEC4}" type="pres">
      <dgm:prSet presAssocID="{EE8DB4F3-FEDF-5444-9966-83035D2C2A73}" presName="compositeShape" presStyleCnt="0">
        <dgm:presLayoutVars>
          <dgm:chMax val="7"/>
          <dgm:dir/>
          <dgm:resizeHandles val="exact"/>
        </dgm:presLayoutVars>
      </dgm:prSet>
      <dgm:spPr/>
      <dgm:t>
        <a:bodyPr/>
        <a:lstStyle/>
        <a:p>
          <a:endParaRPr lang="en-US"/>
        </a:p>
      </dgm:t>
    </dgm:pt>
    <dgm:pt modelId="{475D4E74-05F7-6744-9460-52C184E58771}" type="pres">
      <dgm:prSet presAssocID="{EE8DB4F3-FEDF-5444-9966-83035D2C2A73}" presName="wedge1" presStyleLbl="node1" presStyleIdx="0" presStyleCnt="3"/>
      <dgm:spPr/>
      <dgm:t>
        <a:bodyPr/>
        <a:lstStyle/>
        <a:p>
          <a:endParaRPr lang="en-US"/>
        </a:p>
      </dgm:t>
    </dgm:pt>
    <dgm:pt modelId="{C638FD68-EBAA-2F40-B79B-459C82450B75}" type="pres">
      <dgm:prSet presAssocID="{EE8DB4F3-FEDF-5444-9966-83035D2C2A73}" presName="dummy1a" presStyleCnt="0"/>
      <dgm:spPr/>
    </dgm:pt>
    <dgm:pt modelId="{D493393B-6E7E-BB47-8DC0-CC261BC40CEC}" type="pres">
      <dgm:prSet presAssocID="{EE8DB4F3-FEDF-5444-9966-83035D2C2A73}" presName="dummy1b" presStyleCnt="0"/>
      <dgm:spPr/>
    </dgm:pt>
    <dgm:pt modelId="{EF569073-5638-5741-A046-F8F58FF17471}" type="pres">
      <dgm:prSet presAssocID="{EE8DB4F3-FEDF-5444-9966-83035D2C2A73}" presName="wedge1Tx" presStyleLbl="node1" presStyleIdx="0" presStyleCnt="3">
        <dgm:presLayoutVars>
          <dgm:chMax val="0"/>
          <dgm:chPref val="0"/>
          <dgm:bulletEnabled val="1"/>
        </dgm:presLayoutVars>
      </dgm:prSet>
      <dgm:spPr/>
      <dgm:t>
        <a:bodyPr/>
        <a:lstStyle/>
        <a:p>
          <a:endParaRPr lang="en-US"/>
        </a:p>
      </dgm:t>
    </dgm:pt>
    <dgm:pt modelId="{6359F963-B32E-5446-87A6-1C8E87D35128}" type="pres">
      <dgm:prSet presAssocID="{EE8DB4F3-FEDF-5444-9966-83035D2C2A73}" presName="wedge2" presStyleLbl="node1" presStyleIdx="1" presStyleCnt="3" custScaleX="80297" custScaleY="76043"/>
      <dgm:spPr/>
      <dgm:t>
        <a:bodyPr/>
        <a:lstStyle/>
        <a:p>
          <a:endParaRPr lang="en-US"/>
        </a:p>
      </dgm:t>
    </dgm:pt>
    <dgm:pt modelId="{123C9258-4B7B-BD48-9A71-C84B870CB00E}" type="pres">
      <dgm:prSet presAssocID="{EE8DB4F3-FEDF-5444-9966-83035D2C2A73}" presName="dummy2a" presStyleCnt="0"/>
      <dgm:spPr/>
    </dgm:pt>
    <dgm:pt modelId="{2ED27F89-0BD2-F24C-812B-555C0A9B735F}" type="pres">
      <dgm:prSet presAssocID="{EE8DB4F3-FEDF-5444-9966-83035D2C2A73}" presName="dummy2b" presStyleCnt="0"/>
      <dgm:spPr/>
    </dgm:pt>
    <dgm:pt modelId="{45B3F432-62EA-1A40-A22C-D3BEA62ECFCD}" type="pres">
      <dgm:prSet presAssocID="{EE8DB4F3-FEDF-5444-9966-83035D2C2A73}" presName="wedge2Tx" presStyleLbl="node1" presStyleIdx="1" presStyleCnt="3">
        <dgm:presLayoutVars>
          <dgm:chMax val="0"/>
          <dgm:chPref val="0"/>
          <dgm:bulletEnabled val="1"/>
        </dgm:presLayoutVars>
      </dgm:prSet>
      <dgm:spPr/>
      <dgm:t>
        <a:bodyPr/>
        <a:lstStyle/>
        <a:p>
          <a:endParaRPr lang="en-US"/>
        </a:p>
      </dgm:t>
    </dgm:pt>
    <dgm:pt modelId="{7A91ED76-C54B-7C43-A502-6E08A6C917BF}" type="pres">
      <dgm:prSet presAssocID="{EE8DB4F3-FEDF-5444-9966-83035D2C2A73}" presName="wedge3" presStyleLbl="node1" presStyleIdx="2" presStyleCnt="3"/>
      <dgm:spPr/>
      <dgm:t>
        <a:bodyPr/>
        <a:lstStyle/>
        <a:p>
          <a:endParaRPr lang="en-US"/>
        </a:p>
      </dgm:t>
    </dgm:pt>
    <dgm:pt modelId="{B11EF87A-9A95-0B43-8D9A-DBF8E0926872}" type="pres">
      <dgm:prSet presAssocID="{EE8DB4F3-FEDF-5444-9966-83035D2C2A73}" presName="dummy3a" presStyleCnt="0"/>
      <dgm:spPr/>
    </dgm:pt>
    <dgm:pt modelId="{69CC3C39-9D91-EA4E-AEB2-5858F9D2613F}" type="pres">
      <dgm:prSet presAssocID="{EE8DB4F3-FEDF-5444-9966-83035D2C2A73}" presName="dummy3b" presStyleCnt="0"/>
      <dgm:spPr/>
    </dgm:pt>
    <dgm:pt modelId="{41542EE2-A58B-DB43-B70B-B5748A176825}" type="pres">
      <dgm:prSet presAssocID="{EE8DB4F3-FEDF-5444-9966-83035D2C2A73}" presName="wedge3Tx" presStyleLbl="node1" presStyleIdx="2" presStyleCnt="3">
        <dgm:presLayoutVars>
          <dgm:chMax val="0"/>
          <dgm:chPref val="0"/>
          <dgm:bulletEnabled val="1"/>
        </dgm:presLayoutVars>
      </dgm:prSet>
      <dgm:spPr/>
      <dgm:t>
        <a:bodyPr/>
        <a:lstStyle/>
        <a:p>
          <a:endParaRPr lang="en-US"/>
        </a:p>
      </dgm:t>
    </dgm:pt>
    <dgm:pt modelId="{49619BB8-AD71-224C-B211-258BDB959C16}" type="pres">
      <dgm:prSet presAssocID="{232CA76E-5B68-044F-BB7A-782A4DC9F1AD}" presName="arrowWedge1" presStyleLbl="fgSibTrans2D1" presStyleIdx="0" presStyleCnt="3"/>
      <dgm:spPr/>
    </dgm:pt>
    <dgm:pt modelId="{1CDDB824-DA20-6342-B874-A48555B9F017}" type="pres">
      <dgm:prSet presAssocID="{03CB3F99-5A3E-8F4F-B216-DF3C1AB1C787}" presName="arrowWedge2" presStyleLbl="fgSibTrans2D1" presStyleIdx="1" presStyleCnt="3"/>
      <dgm:spPr/>
    </dgm:pt>
    <dgm:pt modelId="{55E76994-1472-434C-BDF9-7BB898B063EE}" type="pres">
      <dgm:prSet presAssocID="{3A244012-F38F-EB4C-9121-A45ED3EE576C}" presName="arrowWedge3" presStyleLbl="fgSibTrans2D1" presStyleIdx="2" presStyleCnt="3"/>
      <dgm:spPr/>
      <dgm:t>
        <a:bodyPr/>
        <a:lstStyle/>
        <a:p>
          <a:endParaRPr lang="en-US"/>
        </a:p>
      </dgm:t>
    </dgm:pt>
  </dgm:ptLst>
  <dgm:cxnLst>
    <dgm:cxn modelId="{26BF21FC-C631-4077-827A-7A2AC5C0157D}" type="presOf" srcId="{FCC60C9D-6765-4747-B38C-3B6A809EFD0B}" destId="{7A91ED76-C54B-7C43-A502-6E08A6C917BF}" srcOrd="0" destOrd="0" presId="urn:microsoft.com/office/officeart/2005/8/layout/cycle8"/>
    <dgm:cxn modelId="{8447C840-33D6-4BFF-924E-C4D9EC451CDB}" type="presOf" srcId="{675954C5-4144-A847-88BA-62CBF5A73824}" destId="{EF569073-5638-5741-A046-F8F58FF17471}" srcOrd="1" destOrd="0" presId="urn:microsoft.com/office/officeart/2005/8/layout/cycle8"/>
    <dgm:cxn modelId="{F9262A00-4527-4EB6-8399-F7ED34CD5478}" type="presOf" srcId="{FCC60C9D-6765-4747-B38C-3B6A809EFD0B}" destId="{41542EE2-A58B-DB43-B70B-B5748A176825}" srcOrd="1" destOrd="0" presId="urn:microsoft.com/office/officeart/2005/8/layout/cycle8"/>
    <dgm:cxn modelId="{478C0047-05DB-4EFA-A162-1950175040CC}" type="presOf" srcId="{12F37688-604D-7042-B90E-3AD4FE30D080}" destId="{6359F963-B32E-5446-87A6-1C8E87D35128}" srcOrd="0" destOrd="0" presId="urn:microsoft.com/office/officeart/2005/8/layout/cycle8"/>
    <dgm:cxn modelId="{623E045C-7376-D04E-B2E4-36701D13DCA5}" srcId="{EE8DB4F3-FEDF-5444-9966-83035D2C2A73}" destId="{FCC60C9D-6765-4747-B38C-3B6A809EFD0B}" srcOrd="2" destOrd="0" parTransId="{1413119E-3C30-014F-9AFB-5661A83ABE9D}" sibTransId="{3A244012-F38F-EB4C-9121-A45ED3EE576C}"/>
    <dgm:cxn modelId="{51E3F7DD-2FAF-B34F-B78D-A977BD0ACD57}" srcId="{EE8DB4F3-FEDF-5444-9966-83035D2C2A73}" destId="{675954C5-4144-A847-88BA-62CBF5A73824}" srcOrd="0" destOrd="0" parTransId="{B4050E82-D047-7B4B-808C-9DB1692598F8}" sibTransId="{232CA76E-5B68-044F-BB7A-782A4DC9F1AD}"/>
    <dgm:cxn modelId="{98543C01-B1A8-4F53-ACE6-2FAB897ED93D}" type="presOf" srcId="{EE8DB4F3-FEDF-5444-9966-83035D2C2A73}" destId="{A1FD598C-CA21-8044-9C81-5C1A5E68AEC4}" srcOrd="0" destOrd="0" presId="urn:microsoft.com/office/officeart/2005/8/layout/cycle8"/>
    <dgm:cxn modelId="{1B7A3F92-D875-41EE-9968-116348274195}" type="presOf" srcId="{675954C5-4144-A847-88BA-62CBF5A73824}" destId="{475D4E74-05F7-6744-9460-52C184E58771}" srcOrd="0" destOrd="0" presId="urn:microsoft.com/office/officeart/2005/8/layout/cycle8"/>
    <dgm:cxn modelId="{F900912B-D86E-224D-AA33-CCA8D99CFA2E}" srcId="{EE8DB4F3-FEDF-5444-9966-83035D2C2A73}" destId="{12F37688-604D-7042-B90E-3AD4FE30D080}" srcOrd="1" destOrd="0" parTransId="{ABE3FFD5-057A-2443-A60A-A2A89BF2F631}" sibTransId="{03CB3F99-5A3E-8F4F-B216-DF3C1AB1C787}"/>
    <dgm:cxn modelId="{35298284-3970-401A-88AD-CABE4713DB06}" type="presOf" srcId="{12F37688-604D-7042-B90E-3AD4FE30D080}" destId="{45B3F432-62EA-1A40-A22C-D3BEA62ECFCD}" srcOrd="1" destOrd="0" presId="urn:microsoft.com/office/officeart/2005/8/layout/cycle8"/>
    <dgm:cxn modelId="{DE0D23AD-5A36-4802-8CFA-38600ED9F11C}" type="presParOf" srcId="{A1FD598C-CA21-8044-9C81-5C1A5E68AEC4}" destId="{475D4E74-05F7-6744-9460-52C184E58771}" srcOrd="0" destOrd="0" presId="urn:microsoft.com/office/officeart/2005/8/layout/cycle8"/>
    <dgm:cxn modelId="{DF617F04-E448-4C4A-A963-9C05BD06DBA0}" type="presParOf" srcId="{A1FD598C-CA21-8044-9C81-5C1A5E68AEC4}" destId="{C638FD68-EBAA-2F40-B79B-459C82450B75}" srcOrd="1" destOrd="0" presId="urn:microsoft.com/office/officeart/2005/8/layout/cycle8"/>
    <dgm:cxn modelId="{2AC9C248-DF6E-4121-8195-1C0C2CB0E0F5}" type="presParOf" srcId="{A1FD598C-CA21-8044-9C81-5C1A5E68AEC4}" destId="{D493393B-6E7E-BB47-8DC0-CC261BC40CEC}" srcOrd="2" destOrd="0" presId="urn:microsoft.com/office/officeart/2005/8/layout/cycle8"/>
    <dgm:cxn modelId="{A80DDBAE-910B-4757-B1D3-BA591B387043}" type="presParOf" srcId="{A1FD598C-CA21-8044-9C81-5C1A5E68AEC4}" destId="{EF569073-5638-5741-A046-F8F58FF17471}" srcOrd="3" destOrd="0" presId="urn:microsoft.com/office/officeart/2005/8/layout/cycle8"/>
    <dgm:cxn modelId="{B9C6069E-470D-4F05-A79E-BA0C6C5B5374}" type="presParOf" srcId="{A1FD598C-CA21-8044-9C81-5C1A5E68AEC4}" destId="{6359F963-B32E-5446-87A6-1C8E87D35128}" srcOrd="4" destOrd="0" presId="urn:microsoft.com/office/officeart/2005/8/layout/cycle8"/>
    <dgm:cxn modelId="{F514443C-B827-48A8-A1BD-7ACA17465C05}" type="presParOf" srcId="{A1FD598C-CA21-8044-9C81-5C1A5E68AEC4}" destId="{123C9258-4B7B-BD48-9A71-C84B870CB00E}" srcOrd="5" destOrd="0" presId="urn:microsoft.com/office/officeart/2005/8/layout/cycle8"/>
    <dgm:cxn modelId="{024B09D0-DAA3-4491-9CB1-591FE7F2C299}" type="presParOf" srcId="{A1FD598C-CA21-8044-9C81-5C1A5E68AEC4}" destId="{2ED27F89-0BD2-F24C-812B-555C0A9B735F}" srcOrd="6" destOrd="0" presId="urn:microsoft.com/office/officeart/2005/8/layout/cycle8"/>
    <dgm:cxn modelId="{5B1A75EC-581D-43CE-A1B4-B56F91EEA964}" type="presParOf" srcId="{A1FD598C-CA21-8044-9C81-5C1A5E68AEC4}" destId="{45B3F432-62EA-1A40-A22C-D3BEA62ECFCD}" srcOrd="7" destOrd="0" presId="urn:microsoft.com/office/officeart/2005/8/layout/cycle8"/>
    <dgm:cxn modelId="{9EF331FE-6A65-45EF-B4B9-D6A75602C192}" type="presParOf" srcId="{A1FD598C-CA21-8044-9C81-5C1A5E68AEC4}" destId="{7A91ED76-C54B-7C43-A502-6E08A6C917BF}" srcOrd="8" destOrd="0" presId="urn:microsoft.com/office/officeart/2005/8/layout/cycle8"/>
    <dgm:cxn modelId="{14583AFD-6755-407C-93DF-FBF3A3EC4F8A}" type="presParOf" srcId="{A1FD598C-CA21-8044-9C81-5C1A5E68AEC4}" destId="{B11EF87A-9A95-0B43-8D9A-DBF8E0926872}" srcOrd="9" destOrd="0" presId="urn:microsoft.com/office/officeart/2005/8/layout/cycle8"/>
    <dgm:cxn modelId="{6AD4DE9B-85E4-4873-A8D0-F6B987B7184E}" type="presParOf" srcId="{A1FD598C-CA21-8044-9C81-5C1A5E68AEC4}" destId="{69CC3C39-9D91-EA4E-AEB2-5858F9D2613F}" srcOrd="10" destOrd="0" presId="urn:microsoft.com/office/officeart/2005/8/layout/cycle8"/>
    <dgm:cxn modelId="{BB6B2A76-C400-45A2-B2BA-842BE40BF021}" type="presParOf" srcId="{A1FD598C-CA21-8044-9C81-5C1A5E68AEC4}" destId="{41542EE2-A58B-DB43-B70B-B5748A176825}" srcOrd="11" destOrd="0" presId="urn:microsoft.com/office/officeart/2005/8/layout/cycle8"/>
    <dgm:cxn modelId="{095664B3-C0AF-4017-8F32-C6AFA59208BD}" type="presParOf" srcId="{A1FD598C-CA21-8044-9C81-5C1A5E68AEC4}" destId="{49619BB8-AD71-224C-B211-258BDB959C16}" srcOrd="12" destOrd="0" presId="urn:microsoft.com/office/officeart/2005/8/layout/cycle8"/>
    <dgm:cxn modelId="{6A2E8C25-B96B-4680-AA16-74F0DC6032E0}" type="presParOf" srcId="{A1FD598C-CA21-8044-9C81-5C1A5E68AEC4}" destId="{1CDDB824-DA20-6342-B874-A48555B9F017}" srcOrd="13" destOrd="0" presId="urn:microsoft.com/office/officeart/2005/8/layout/cycle8"/>
    <dgm:cxn modelId="{004D39C1-7105-4628-8384-7AF358FA5520}" type="presParOf" srcId="{A1FD598C-CA21-8044-9C81-5C1A5E68AEC4}" destId="{55E76994-1472-434C-BDF9-7BB898B063EE}"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D4E74-05F7-6744-9460-52C184E58771}">
      <dsp:nvSpPr>
        <dsp:cNvPr id="0" name=""/>
        <dsp:cNvSpPr/>
      </dsp:nvSpPr>
      <dsp:spPr>
        <a:xfrm>
          <a:off x="1379885" y="194767"/>
          <a:ext cx="2045055" cy="2045055"/>
        </a:xfrm>
        <a:prstGeom prst="pie">
          <a:avLst>
            <a:gd name="adj1" fmla="val 16200000"/>
            <a:gd name="adj2" fmla="val 18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RISK AND PROTECTIVE FACTORS</a:t>
          </a:r>
        </a:p>
      </dsp:txBody>
      <dsp:txXfrm>
        <a:off x="2457678" y="628124"/>
        <a:ext cx="730377" cy="608647"/>
      </dsp:txXfrm>
    </dsp:sp>
    <dsp:sp modelId="{6359F963-B32E-5446-87A6-1C8E87D35128}">
      <dsp:nvSpPr>
        <dsp:cNvPr id="0" name=""/>
        <dsp:cNvSpPr/>
      </dsp:nvSpPr>
      <dsp:spPr>
        <a:xfrm>
          <a:off x="1539235" y="512771"/>
          <a:ext cx="1642118" cy="1555121"/>
        </a:xfrm>
        <a:prstGeom prst="pie">
          <a:avLst>
            <a:gd name="adj1" fmla="val 1800000"/>
            <a:gd name="adj2" fmla="val 90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SUBSTANCE USE AND MENTAL HEALTH DATA (CONSEQUENCES and CONSUMPTION DATA)</a:t>
          </a:r>
        </a:p>
      </dsp:txBody>
      <dsp:txXfrm>
        <a:off x="1930216" y="1521749"/>
        <a:ext cx="879706" cy="407293"/>
      </dsp:txXfrm>
    </dsp:sp>
    <dsp:sp modelId="{7A91ED76-C54B-7C43-A502-6E08A6C917BF}">
      <dsp:nvSpPr>
        <dsp:cNvPr id="0" name=""/>
        <dsp:cNvSpPr/>
      </dsp:nvSpPr>
      <dsp:spPr>
        <a:xfrm>
          <a:off x="1295648" y="194767"/>
          <a:ext cx="2045055" cy="2045055"/>
        </a:xfrm>
        <a:prstGeom prst="pie">
          <a:avLst>
            <a:gd name="adj1" fmla="val 90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PREVENTION/POLICY PRACTICES</a:t>
          </a:r>
        </a:p>
      </dsp:txBody>
      <dsp:txXfrm>
        <a:off x="1532534" y="628124"/>
        <a:ext cx="730377" cy="608647"/>
      </dsp:txXfrm>
    </dsp:sp>
    <dsp:sp modelId="{49619BB8-AD71-224C-B211-258BDB959C16}">
      <dsp:nvSpPr>
        <dsp:cNvPr id="0" name=""/>
        <dsp:cNvSpPr/>
      </dsp:nvSpPr>
      <dsp:spPr>
        <a:xfrm>
          <a:off x="1253455" y="68168"/>
          <a:ext cx="2298252" cy="2298252"/>
        </a:xfrm>
        <a:prstGeom prst="circularArrow">
          <a:avLst>
            <a:gd name="adj1" fmla="val 5085"/>
            <a:gd name="adj2" fmla="val 327528"/>
            <a:gd name="adj3" fmla="val 1472472"/>
            <a:gd name="adj4" fmla="val 16199432"/>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CDDB824-DA20-6342-B874-A48555B9F017}">
      <dsp:nvSpPr>
        <dsp:cNvPr id="0" name=""/>
        <dsp:cNvSpPr/>
      </dsp:nvSpPr>
      <dsp:spPr>
        <a:xfrm>
          <a:off x="1214715" y="145389"/>
          <a:ext cx="2298252" cy="2298252"/>
        </a:xfrm>
        <a:prstGeom prst="circularArrow">
          <a:avLst>
            <a:gd name="adj1" fmla="val 5085"/>
            <a:gd name="adj2" fmla="val 327528"/>
            <a:gd name="adj3" fmla="val 8671970"/>
            <a:gd name="adj4" fmla="val 1800502"/>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5E76994-1472-434C-BDF9-7BB898B063EE}">
      <dsp:nvSpPr>
        <dsp:cNvPr id="0" name=""/>
        <dsp:cNvSpPr/>
      </dsp:nvSpPr>
      <dsp:spPr>
        <a:xfrm>
          <a:off x="1168881" y="68168"/>
          <a:ext cx="2298252" cy="2298252"/>
        </a:xfrm>
        <a:prstGeom prst="circularArrow">
          <a:avLst>
            <a:gd name="adj1" fmla="val 5085"/>
            <a:gd name="adj2" fmla="val 327528"/>
            <a:gd name="adj3" fmla="val 15873039"/>
            <a:gd name="adj4" fmla="val 9000000"/>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9983-603C-44F1-94BA-568DDAF2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2506</Words>
  <Characters>14288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Przyjemska Meehan, Anna</dc:creator>
  <cp:lastModifiedBy>Kretchman, Elizabeth</cp:lastModifiedBy>
  <cp:revision>2</cp:revision>
  <cp:lastPrinted>2014-08-04T16:09:00Z</cp:lastPrinted>
  <dcterms:created xsi:type="dcterms:W3CDTF">2014-08-27T15:10:00Z</dcterms:created>
  <dcterms:modified xsi:type="dcterms:W3CDTF">2014-08-27T15:10:00Z</dcterms:modified>
</cp:coreProperties>
</file>