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pPr w:leftFromText="180" w:rightFromText="180" w:vertAnchor="page" w:horzAnchor="margin" w:tblpXSpec="center" w:tblpY="1696"/>
        <w:tblW w:w="10573" w:type="dxa"/>
        <w:tblLook w:val="04A0" w:firstRow="1" w:lastRow="0" w:firstColumn="1" w:lastColumn="0" w:noHBand="0" w:noVBand="1"/>
      </w:tblPr>
      <w:tblGrid>
        <w:gridCol w:w="2538"/>
        <w:gridCol w:w="632"/>
        <w:gridCol w:w="618"/>
        <w:gridCol w:w="758"/>
        <w:gridCol w:w="621"/>
        <w:gridCol w:w="618"/>
        <w:gridCol w:w="758"/>
        <w:gridCol w:w="632"/>
        <w:gridCol w:w="618"/>
        <w:gridCol w:w="758"/>
        <w:gridCol w:w="632"/>
        <w:gridCol w:w="632"/>
        <w:gridCol w:w="758"/>
      </w:tblGrid>
      <w:tr w:rsidR="00F713CD" w:rsidRPr="009A51BF" w:rsidTr="00F7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CD" w:rsidRDefault="00F713CD" w:rsidP="00F713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% of Students</w:t>
            </w:r>
          </w:p>
          <w:p w:rsidR="00F713CD" w:rsidRPr="009A51BF" w:rsidRDefault="00F713CD" w:rsidP="00F713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(grades 9-12) Repor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t</w:t>
            </w: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ing:</w:t>
            </w:r>
          </w:p>
        </w:tc>
        <w:tc>
          <w:tcPr>
            <w:tcW w:w="2008" w:type="dxa"/>
            <w:gridSpan w:val="3"/>
            <w:tcBorders>
              <w:left w:val="single" w:sz="4" w:space="0" w:color="auto"/>
            </w:tcBorders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2001</w:t>
            </w:r>
          </w:p>
        </w:tc>
        <w:tc>
          <w:tcPr>
            <w:tcW w:w="1997" w:type="dxa"/>
            <w:gridSpan w:val="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2009</w:t>
            </w:r>
          </w:p>
        </w:tc>
        <w:tc>
          <w:tcPr>
            <w:tcW w:w="2008" w:type="dxa"/>
            <w:gridSpan w:val="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2011</w:t>
            </w:r>
          </w:p>
        </w:tc>
        <w:tc>
          <w:tcPr>
            <w:tcW w:w="2022" w:type="dxa"/>
            <w:gridSpan w:val="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2013</w:t>
            </w:r>
          </w:p>
        </w:tc>
      </w:tr>
      <w:tr w:rsidR="00BC4C35" w:rsidRPr="009A51BF" w:rsidTr="00F7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CD" w:rsidRPr="009A51BF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RI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US</w:t>
            </w:r>
          </w:p>
        </w:tc>
        <w:tc>
          <w:tcPr>
            <w:tcW w:w="758" w:type="dxa"/>
            <w:shd w:val="clear" w:color="auto" w:fill="FFFFFF" w:themeFill="background1"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Ratio RI/US</w:t>
            </w:r>
          </w:p>
        </w:tc>
        <w:tc>
          <w:tcPr>
            <w:tcW w:w="621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RI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US</w:t>
            </w:r>
          </w:p>
        </w:tc>
        <w:tc>
          <w:tcPr>
            <w:tcW w:w="758" w:type="dxa"/>
            <w:shd w:val="clear" w:color="auto" w:fill="FFFFFF" w:themeFill="background1"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Ratio RI/US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RI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US</w:t>
            </w:r>
          </w:p>
        </w:tc>
        <w:tc>
          <w:tcPr>
            <w:tcW w:w="758" w:type="dxa"/>
            <w:shd w:val="clear" w:color="auto" w:fill="FFFFFF" w:themeFill="background1"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Ratio RI/US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RI</w:t>
            </w:r>
          </w:p>
        </w:tc>
        <w:tc>
          <w:tcPr>
            <w:tcW w:w="632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US</w:t>
            </w:r>
          </w:p>
        </w:tc>
        <w:tc>
          <w:tcPr>
            <w:tcW w:w="758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Ratio RI/US</w:t>
            </w:r>
          </w:p>
        </w:tc>
      </w:tr>
      <w:tr w:rsidR="00F713CD" w:rsidRPr="009A51BF" w:rsidTr="00F713C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Alcohol Use</w:t>
            </w:r>
          </w:p>
        </w:tc>
      </w:tr>
      <w:tr w:rsidR="00F713CD" w:rsidRPr="009A51BF" w:rsidTr="00F7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CD" w:rsidRPr="009A51BF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Alcohol use past month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50.3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47.0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1.07</w:t>
            </w:r>
          </w:p>
        </w:tc>
        <w:tc>
          <w:tcPr>
            <w:tcW w:w="621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34.0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41.8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0.81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30.0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38.7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0.78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32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34.9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0.89</w:t>
            </w:r>
          </w:p>
        </w:tc>
      </w:tr>
      <w:tr w:rsidR="00F713CD" w:rsidRPr="009A51BF" w:rsidTr="00F713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CD" w:rsidRPr="009A51BF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Binge drinking past month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30.7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29.9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1.03</w:t>
            </w:r>
          </w:p>
        </w:tc>
        <w:tc>
          <w:tcPr>
            <w:tcW w:w="621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18.7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24.2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0.77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18.3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21.9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0.84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15.3</w:t>
            </w:r>
          </w:p>
        </w:tc>
        <w:tc>
          <w:tcPr>
            <w:tcW w:w="632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20.8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0.74</w:t>
            </w:r>
          </w:p>
        </w:tc>
      </w:tr>
      <w:tr w:rsidR="00F713CD" w:rsidRPr="009A51BF" w:rsidTr="00F7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CD" w:rsidRPr="009A51BF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Initial use of alcohol before age 13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29.7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29.1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1.02</w:t>
            </w:r>
          </w:p>
        </w:tc>
        <w:tc>
          <w:tcPr>
            <w:tcW w:w="621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15.8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21.1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0.75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15.6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20.5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0.76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13.5</w:t>
            </w:r>
          </w:p>
        </w:tc>
        <w:tc>
          <w:tcPr>
            <w:tcW w:w="632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18.6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0.73</w:t>
            </w:r>
          </w:p>
        </w:tc>
      </w:tr>
      <w:tr w:rsidR="00F713CD" w:rsidRPr="009A51BF" w:rsidTr="00F713CD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CD" w:rsidRPr="009A51BF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Drinking and driving past month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15.5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13.3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1.17</w:t>
            </w:r>
          </w:p>
        </w:tc>
        <w:tc>
          <w:tcPr>
            <w:tcW w:w="621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9.7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0.74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6.5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0.79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8.5</w:t>
            </w:r>
          </w:p>
        </w:tc>
        <w:tc>
          <w:tcPr>
            <w:tcW w:w="632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0.85</w:t>
            </w:r>
          </w:p>
        </w:tc>
      </w:tr>
      <w:tr w:rsidR="00F713CD" w:rsidRPr="009A51BF" w:rsidTr="00F7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CD" w:rsidRPr="009A51BF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In car w/ driver who had been drinking (past month)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32.3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30.7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1.05</w:t>
            </w:r>
          </w:p>
        </w:tc>
        <w:tc>
          <w:tcPr>
            <w:tcW w:w="621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23.1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28.3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0.82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21.9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24.1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0.91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20.1</w:t>
            </w:r>
          </w:p>
        </w:tc>
        <w:tc>
          <w:tcPr>
            <w:tcW w:w="632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21.9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0.92</w:t>
            </w:r>
          </w:p>
        </w:tc>
      </w:tr>
      <w:tr w:rsidR="00F713CD" w:rsidRPr="009A51BF" w:rsidTr="00F713C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Cigarette Use</w:t>
            </w:r>
          </w:p>
        </w:tc>
      </w:tr>
      <w:tr w:rsidR="00F713CD" w:rsidRPr="009A51BF" w:rsidTr="00F7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CD" w:rsidRPr="009A51BF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Smoking cigarettes 20+ days past month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14.2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13.8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1.03</w:t>
            </w:r>
          </w:p>
        </w:tc>
        <w:tc>
          <w:tcPr>
            <w:tcW w:w="621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7.3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0.74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6.4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0.69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632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0.55</w:t>
            </w:r>
          </w:p>
        </w:tc>
      </w:tr>
      <w:tr w:rsidR="00F713CD" w:rsidRPr="009A51BF" w:rsidTr="00F713CD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CD" w:rsidRPr="009A51BF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Initial use of tobacco before age 13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22.3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22.1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1.01</w:t>
            </w:r>
          </w:p>
        </w:tc>
        <w:tc>
          <w:tcPr>
            <w:tcW w:w="621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8.4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10.7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0.79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10.3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0.69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632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9.3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0.60</w:t>
            </w:r>
          </w:p>
        </w:tc>
      </w:tr>
      <w:tr w:rsidR="00F713CD" w:rsidRPr="009A51BF" w:rsidTr="00F7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Marijuana Use</w:t>
            </w:r>
          </w:p>
        </w:tc>
      </w:tr>
      <w:tr w:rsidR="00F713CD" w:rsidRPr="009A51BF" w:rsidTr="00F713C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CD" w:rsidRPr="009A51BF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Using marijuana past month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33.2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23.9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1.39</w:t>
            </w:r>
          </w:p>
        </w:tc>
        <w:tc>
          <w:tcPr>
            <w:tcW w:w="621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26.3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20.8</w:t>
            </w:r>
          </w:p>
        </w:tc>
        <w:tc>
          <w:tcPr>
            <w:tcW w:w="758" w:type="dxa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1.26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26.3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21.3</w:t>
            </w:r>
          </w:p>
        </w:tc>
        <w:tc>
          <w:tcPr>
            <w:tcW w:w="758" w:type="dxa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1.23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23.9</w:t>
            </w:r>
          </w:p>
        </w:tc>
        <w:tc>
          <w:tcPr>
            <w:tcW w:w="632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23.4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1.02</w:t>
            </w:r>
          </w:p>
        </w:tc>
      </w:tr>
      <w:tr w:rsidR="00F713CD" w:rsidRPr="009A51BF" w:rsidTr="00F7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CD" w:rsidRPr="009A51BF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Initial use of marijuana before age 13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12.8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1.25</w:t>
            </w:r>
          </w:p>
        </w:tc>
        <w:tc>
          <w:tcPr>
            <w:tcW w:w="621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8.3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7.5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  <w:t>1.11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0.88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632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8.6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0.79</w:t>
            </w:r>
          </w:p>
        </w:tc>
      </w:tr>
      <w:tr w:rsidR="00F713CD" w:rsidRPr="009A51BF" w:rsidTr="00F713C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Prescription Drug Use</w:t>
            </w:r>
          </w:p>
        </w:tc>
      </w:tr>
      <w:tr w:rsidR="00F713CD" w:rsidRPr="009A51BF" w:rsidTr="00F7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CD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 xml:space="preserve">Prescription drug </w:t>
            </w:r>
          </w:p>
          <w:p w:rsidR="00F713CD" w:rsidRPr="009A51BF" w:rsidRDefault="00F713CD" w:rsidP="00F713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sz w:val="20"/>
                <w:szCs w:val="20"/>
              </w:rPr>
              <w:t>misuse past year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21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14.1</w:t>
            </w:r>
          </w:p>
        </w:tc>
        <w:tc>
          <w:tcPr>
            <w:tcW w:w="618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20.7</w:t>
            </w:r>
          </w:p>
        </w:tc>
        <w:tc>
          <w:tcPr>
            <w:tcW w:w="758" w:type="dxa"/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0.68</w:t>
            </w:r>
          </w:p>
        </w:tc>
        <w:tc>
          <w:tcPr>
            <w:tcW w:w="632" w:type="dxa"/>
            <w:shd w:val="clear" w:color="auto" w:fill="8DB3E2" w:themeFill="text2" w:themeFillTint="66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13.5</w:t>
            </w:r>
          </w:p>
        </w:tc>
        <w:tc>
          <w:tcPr>
            <w:tcW w:w="632" w:type="dxa"/>
            <w:shd w:val="clear" w:color="auto" w:fill="C6D9F1" w:themeFill="text2" w:themeFillTint="33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sz w:val="20"/>
                <w:szCs w:val="20"/>
              </w:rPr>
              <w:t>17.8</w:t>
            </w:r>
          </w:p>
        </w:tc>
        <w:tc>
          <w:tcPr>
            <w:tcW w:w="75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13CD" w:rsidRPr="009A51BF" w:rsidRDefault="00F713CD" w:rsidP="00F7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</w:pPr>
            <w:r w:rsidRPr="009A51BF"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</w:rPr>
              <w:t>0.76</w:t>
            </w:r>
          </w:p>
        </w:tc>
      </w:tr>
    </w:tbl>
    <w:p w:rsidR="008D1B06" w:rsidRDefault="008D1B06" w:rsidP="00355BEF">
      <w:pPr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355BEF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6264E" wp14:editId="6618485D">
                <wp:simplePos x="0" y="0"/>
                <wp:positionH relativeFrom="column">
                  <wp:posOffset>744220</wp:posOffset>
                </wp:positionH>
                <wp:positionV relativeFrom="paragraph">
                  <wp:posOffset>-431263</wp:posOffset>
                </wp:positionV>
                <wp:extent cx="6715125" cy="561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355BEF" w:rsidRDefault="00CE7934" w:rsidP="008D1B06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RI vs. US Comparison on Ten K</w:t>
                            </w:r>
                            <w:r w:rsidRPr="009A51BF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ey Consu</w:t>
                            </w:r>
                            <w:r w:rsidRPr="00355BEF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</w:t>
                            </w:r>
                            <w:r w:rsidRPr="009A51BF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ption Indicators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for Underage P</w:t>
                            </w:r>
                            <w:r w:rsidRPr="00355BEF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opulation (&lt;18), </w:t>
                            </w:r>
                            <w:r w:rsidRPr="009A51BF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2001-2013</w:t>
                            </w:r>
                          </w:p>
                          <w:p w:rsidR="00CE7934" w:rsidRDefault="00CE7934" w:rsidP="008D1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6pt;margin-top:-33.95pt;width:528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" stroked="f">
                <v:textbox>
                  <w:txbxContent>
                    <w:p w:rsidR="00CE7934" w:rsidRPr="00355BEF" w:rsidRDefault="00CE7934" w:rsidP="008D1B06">
                      <w:pP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RI vs. US Comparison on Ten K</w:t>
                      </w:r>
                      <w:r w:rsidRPr="009A51BF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ey Consu</w:t>
                      </w:r>
                      <w:r w:rsidRPr="00355BEF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m</w:t>
                      </w:r>
                      <w:r w:rsidRPr="009A51BF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ption Indicators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for Underage P</w:t>
                      </w:r>
                      <w:r w:rsidRPr="00355BEF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opulation (&lt;18), </w:t>
                      </w:r>
                      <w:r w:rsidRPr="009A51BF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2001-2013</w:t>
                      </w:r>
                    </w:p>
                    <w:p w:rsidR="00CE7934" w:rsidRDefault="00CE7934" w:rsidP="008D1B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1B06" w:rsidRDefault="008D1B06">
      <w:pPr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A61AE" wp14:editId="66E21345">
                <wp:simplePos x="0" y="0"/>
                <wp:positionH relativeFrom="column">
                  <wp:posOffset>748128</wp:posOffset>
                </wp:positionH>
                <wp:positionV relativeFrom="paragraph">
                  <wp:posOffset>4958715</wp:posOffset>
                </wp:positionV>
                <wp:extent cx="671512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F713CD" w:rsidRDefault="00CE7934" w:rsidP="008D1B06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>Ratios greater than 1 indicate those consumption patterns where RI exceeds the US average.</w:t>
                            </w:r>
                          </w:p>
                          <w:p w:rsidR="002E6C51" w:rsidRDefault="00CE7934" w:rsidP="008D1B06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F713CD">
                              <w:rPr>
                                <w:b/>
                                <w:color w:val="00B050"/>
                              </w:rPr>
                              <w:t>Ratios smaller than 1 indicate those consumption patterns where RI is lower than the US average</w:t>
                            </w:r>
                          </w:p>
                          <w:p w:rsidR="002E6C51" w:rsidRDefault="002E6C51" w:rsidP="008D1B06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CE7934" w:rsidRPr="002E6C51" w:rsidRDefault="002E6C51" w:rsidP="008D1B0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 Youth Risk Behavior Survey, Centers for Disease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9pt;margin-top:390.45pt;width:52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" stroked="f">
                <v:textbox style="mso-fit-shape-to-text:t">
                  <w:txbxContent>
                    <w:p w:rsidR="00CE7934" w:rsidRPr="00F713CD" w:rsidRDefault="00CE7934" w:rsidP="008D1B06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3CD">
                        <w:rPr>
                          <w:b/>
                          <w:color w:val="FF0000"/>
                        </w:rPr>
                        <w:t>Ratios greater than 1 indicate those consumption patterns where RI exceeds the US average.</w:t>
                      </w:r>
                    </w:p>
                    <w:p w:rsidR="002E6C51" w:rsidRDefault="00CE7934" w:rsidP="008D1B06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F713CD">
                        <w:rPr>
                          <w:b/>
                          <w:color w:val="00B050"/>
                        </w:rPr>
                        <w:t>Ratios smaller than 1 indicate those consumption patterns where RI is lower than the US average</w:t>
                      </w:r>
                    </w:p>
                    <w:p w:rsidR="002E6C51" w:rsidRDefault="002E6C51" w:rsidP="008D1B06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  <w:p w:rsidR="00CE7934" w:rsidRPr="002E6C51" w:rsidRDefault="002E6C51" w:rsidP="008D1B06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 Youth Risk Behavior Survey, Centers for Disease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br w:type="page"/>
      </w:r>
    </w:p>
    <w:p w:rsidR="003654E8" w:rsidRDefault="003654E8">
      <w:pPr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3654E8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866775</wp:posOffset>
                </wp:positionH>
                <wp:positionV relativeFrom="paragraph">
                  <wp:posOffset>-76200</wp:posOffset>
                </wp:positionV>
                <wp:extent cx="6477000" cy="576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3654E8" w:rsidRDefault="00CE7934" w:rsidP="003654E8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RI vs. Region C</w:t>
                            </w:r>
                            <w:r w:rsidRPr="003654E8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omparison on Alcohol Consu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mption Indicators for Underage P</w:t>
                            </w:r>
                            <w:r w:rsidRPr="003654E8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opulation (&lt;18), 2001-2013</w:t>
                            </w:r>
                          </w:p>
                          <w:p w:rsidR="00CE7934" w:rsidRDefault="00CE7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25pt;margin-top:-6pt;width:510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" stroked="f">
                <v:textbox>
                  <w:txbxContent>
                    <w:p w:rsidR="00CE7934" w:rsidRPr="003654E8" w:rsidRDefault="00CE7934" w:rsidP="003654E8">
                      <w:pP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RI vs. Region C</w:t>
                      </w:r>
                      <w:r w:rsidRPr="003654E8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omparison on Alcohol Consu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mption Indicators for Underage P</w:t>
                      </w:r>
                      <w:r w:rsidRPr="003654E8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opulation (&lt;18), 2001-2013</w:t>
                      </w:r>
                    </w:p>
                    <w:p w:rsidR="00CE7934" w:rsidRDefault="00CE7934"/>
                  </w:txbxContent>
                </v:textbox>
              </v:shape>
            </w:pict>
          </mc:Fallback>
        </mc:AlternateContent>
      </w:r>
    </w:p>
    <w:tbl>
      <w:tblPr>
        <w:tblStyle w:val="MediumShading2-Accent1"/>
        <w:tblpPr w:leftFromText="180" w:rightFromText="180" w:horzAnchor="margin" w:tblpXSpec="center" w:tblpY="864"/>
        <w:tblW w:w="10044" w:type="dxa"/>
        <w:tblLook w:val="04A0" w:firstRow="1" w:lastRow="0" w:firstColumn="1" w:lastColumn="0" w:noHBand="0" w:noVBand="1"/>
      </w:tblPr>
      <w:tblGrid>
        <w:gridCol w:w="690"/>
        <w:gridCol w:w="948"/>
        <w:gridCol w:w="948"/>
        <w:gridCol w:w="948"/>
        <w:gridCol w:w="947"/>
        <w:gridCol w:w="947"/>
        <w:gridCol w:w="947"/>
        <w:gridCol w:w="947"/>
        <w:gridCol w:w="947"/>
        <w:gridCol w:w="947"/>
        <w:gridCol w:w="960"/>
      </w:tblGrid>
      <w:tr w:rsidR="003654E8" w:rsidRPr="003654E8" w:rsidTr="0015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6" w:type="dxa"/>
            <w:gridSpan w:val="2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USA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RI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CT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MA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ME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NH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NJ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NY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PA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VT</w:t>
            </w:r>
          </w:p>
        </w:tc>
      </w:tr>
      <w:tr w:rsidR="003654E8" w:rsidRPr="003654E8" w:rsidTr="0015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18" w:space="0" w:color="auto"/>
            </w:tcBorders>
            <w:noWrap/>
            <w:hideMark/>
          </w:tcPr>
          <w:p w:rsidR="003654E8" w:rsidRPr="003654E8" w:rsidRDefault="003654E8" w:rsidP="003654E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4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654E8" w:rsidRPr="003654E8" w:rsidRDefault="004E04E1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% </w:t>
            </w:r>
            <w:r w:rsidR="003654E8"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Binge drinking (5+ drinks in one sitting) past month</w:t>
            </w:r>
          </w:p>
        </w:tc>
      </w:tr>
      <w:tr w:rsidR="003654E8" w:rsidRPr="003654E8" w:rsidTr="004E04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2001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30.7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29</w:t>
            </w:r>
          </w:p>
        </w:tc>
      </w:tr>
      <w:tr w:rsidR="003654E8" w:rsidRPr="003654E8" w:rsidTr="004E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2009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18.7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23.1</w:t>
            </w:r>
          </w:p>
        </w:tc>
      </w:tr>
      <w:tr w:rsidR="003654E8" w:rsidRPr="003654E8" w:rsidTr="004E04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2011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18.3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20.9</w:t>
            </w:r>
          </w:p>
        </w:tc>
      </w:tr>
      <w:tr w:rsidR="003654E8" w:rsidRPr="003654E8" w:rsidTr="004E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2013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15.3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21.4</w:t>
            </w:r>
          </w:p>
        </w:tc>
      </w:tr>
      <w:tr w:rsidR="003654E8" w:rsidRPr="003654E8" w:rsidTr="004E04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654E8" w:rsidRPr="003654E8" w:rsidRDefault="004E04E1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% </w:t>
            </w:r>
            <w:r w:rsidR="003654E8"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Initial use of alcohol before age 13</w:t>
            </w:r>
          </w:p>
        </w:tc>
      </w:tr>
      <w:tr w:rsidR="003654E8" w:rsidRPr="003654E8" w:rsidTr="004E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2001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29.7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26</w:t>
            </w:r>
          </w:p>
        </w:tc>
      </w:tr>
      <w:tr w:rsidR="003654E8" w:rsidRPr="003654E8" w:rsidTr="004E04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2009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15.8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18.2</w:t>
            </w:r>
          </w:p>
        </w:tc>
      </w:tr>
      <w:tr w:rsidR="003654E8" w:rsidRPr="003654E8" w:rsidTr="004E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2011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15.6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14.8</w:t>
            </w:r>
          </w:p>
        </w:tc>
      </w:tr>
      <w:tr w:rsidR="004E04E1" w:rsidRPr="003654E8" w:rsidTr="004E04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2013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13.5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16.2</w:t>
            </w:r>
          </w:p>
        </w:tc>
      </w:tr>
      <w:tr w:rsidR="003654E8" w:rsidRPr="003654E8" w:rsidTr="004E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654E8" w:rsidRPr="003654E8" w:rsidRDefault="004E04E1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% </w:t>
            </w:r>
            <w:r w:rsidR="003654E8"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Drinking and driving past month</w:t>
            </w:r>
          </w:p>
        </w:tc>
      </w:tr>
      <w:tr w:rsidR="004E04E1" w:rsidRPr="003654E8" w:rsidTr="004E04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2001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15.5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tcBorders>
              <w:top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10.1</w:t>
            </w:r>
          </w:p>
        </w:tc>
      </w:tr>
      <w:tr w:rsidR="003654E8" w:rsidRPr="003654E8" w:rsidTr="004E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2009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9.7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7.2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3654E8" w:rsidRPr="003654E8" w:rsidTr="004E04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2011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6.5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7.1</w:t>
            </w:r>
          </w:p>
        </w:tc>
      </w:tr>
      <w:tr w:rsidR="003654E8" w:rsidRPr="003654E8" w:rsidTr="004E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3654E8" w:rsidRPr="003654E8" w:rsidRDefault="003654E8" w:rsidP="003654E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sz w:val="20"/>
                <w:szCs w:val="20"/>
              </w:rPr>
              <w:t>2013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8.5</w:t>
            </w:r>
          </w:p>
        </w:tc>
        <w:tc>
          <w:tcPr>
            <w:tcW w:w="948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47" w:type="dxa"/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0" w:type="dxa"/>
            <w:tcBorders>
              <w:bottom w:val="single" w:sz="18" w:space="0" w:color="auto"/>
              <w:right w:val="single" w:sz="4" w:space="0" w:color="auto"/>
            </w:tcBorders>
            <w:noWrap/>
            <w:hideMark/>
          </w:tcPr>
          <w:p w:rsidR="003654E8" w:rsidRPr="003654E8" w:rsidRDefault="003654E8" w:rsidP="0036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654E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10.2</w:t>
            </w:r>
          </w:p>
        </w:tc>
      </w:tr>
    </w:tbl>
    <w:p w:rsidR="008D1B06" w:rsidRDefault="008D1B06" w:rsidP="00355BEF">
      <w:pPr>
        <w:rPr>
          <w:rFonts w:ascii="Cambria" w:eastAsia="Times New Roman" w:hAnsi="Cambria" w:cs="Times New Roman"/>
          <w:b/>
          <w:color w:val="000000"/>
          <w:sz w:val="28"/>
          <w:szCs w:val="28"/>
        </w:rPr>
      </w:pPr>
    </w:p>
    <w:p w:rsidR="008D1B06" w:rsidRDefault="004E04E1">
      <w:pPr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C981D" wp14:editId="0E444F67">
                <wp:simplePos x="0" y="0"/>
                <wp:positionH relativeFrom="column">
                  <wp:posOffset>866776</wp:posOffset>
                </wp:positionH>
                <wp:positionV relativeFrom="paragraph">
                  <wp:posOffset>2990850</wp:posOffset>
                </wp:positionV>
                <wp:extent cx="64770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Default="00CE7934" w:rsidP="004E04E1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RI Indicators greater than national averages are shown in red.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CE7934" w:rsidRDefault="00CE7934" w:rsidP="004E04E1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RI indicators</w:t>
                            </w:r>
                            <w:r w:rsidRPr="00F713CD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less than national averages are shown in green</w:t>
                            </w:r>
                            <w:r w:rsidRPr="00F713CD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  <w:p w:rsidR="002E6C51" w:rsidRDefault="002E6C51" w:rsidP="004E04E1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2E6C51" w:rsidRPr="002E6C51" w:rsidRDefault="002E6C51" w:rsidP="002E6C5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 Youth Risk Behavior Survey, Centers for Disease Control</w:t>
                            </w:r>
                          </w:p>
                          <w:p w:rsidR="002E6C51" w:rsidRPr="00F713CD" w:rsidRDefault="002E6C51" w:rsidP="004E04E1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8.25pt;margin-top:235.5pt;width:510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" stroked="f">
                <v:textbox style="mso-fit-shape-to-text:t">
                  <w:txbxContent>
                    <w:p w:rsidR="00CE7934" w:rsidRDefault="00CE7934" w:rsidP="004E04E1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RI Indicators greater than national averages are shown in red.</w:t>
                      </w:r>
                      <w:r w:rsidRPr="00F713CD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CE7934" w:rsidRDefault="00CE7934" w:rsidP="004E04E1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RI indicators</w:t>
                      </w:r>
                      <w:r w:rsidRPr="00F713CD">
                        <w:rPr>
                          <w:b/>
                          <w:color w:val="00B050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</w:rPr>
                        <w:t>less than national averages are shown in green</w:t>
                      </w:r>
                      <w:r w:rsidRPr="00F713CD">
                        <w:rPr>
                          <w:b/>
                          <w:color w:val="00B050"/>
                        </w:rPr>
                        <w:t>.</w:t>
                      </w:r>
                    </w:p>
                    <w:p w:rsidR="002E6C51" w:rsidRDefault="002E6C51" w:rsidP="004E04E1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  <w:p w:rsidR="002E6C51" w:rsidRPr="002E6C51" w:rsidRDefault="002E6C51" w:rsidP="002E6C5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 Youth Risk Behavior Survey, Centers for Disease Control</w:t>
                      </w:r>
                    </w:p>
                    <w:p w:rsidR="002E6C51" w:rsidRPr="00F713CD" w:rsidRDefault="002E6C51" w:rsidP="004E04E1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B06">
        <w:rPr>
          <w:rFonts w:ascii="Cambria" w:eastAsia="Times New Roman" w:hAnsi="Cambria" w:cs="Times New Roman"/>
          <w:b/>
          <w:color w:val="000000"/>
          <w:sz w:val="28"/>
          <w:szCs w:val="28"/>
        </w:rPr>
        <w:br w:type="page"/>
      </w:r>
    </w:p>
    <w:tbl>
      <w:tblPr>
        <w:tblStyle w:val="MediumShading2-Accent1"/>
        <w:tblpPr w:leftFromText="180" w:rightFromText="180" w:vertAnchor="page" w:horzAnchor="margin" w:tblpXSpec="center" w:tblpY="2506"/>
        <w:tblW w:w="10180" w:type="dxa"/>
        <w:tblLook w:val="04A0" w:firstRow="1" w:lastRow="0" w:firstColumn="1" w:lastColumn="0" w:noHBand="0" w:noVBand="1"/>
      </w:tblPr>
      <w:tblGrid>
        <w:gridCol w:w="690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1555C5" w:rsidRPr="002A7200" w:rsidTr="002A7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9" w:type="dxa"/>
            <w:gridSpan w:val="2"/>
            <w:noWrap/>
            <w:hideMark/>
          </w:tcPr>
          <w:p w:rsidR="001555C5" w:rsidRPr="002A7200" w:rsidRDefault="001555C5" w:rsidP="001555C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USA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RI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CT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MA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ME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NH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NJ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NY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PA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VT</w:t>
            </w:r>
          </w:p>
        </w:tc>
      </w:tr>
      <w:tr w:rsidR="001555C5" w:rsidRPr="002A7200" w:rsidTr="002A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1555C5" w:rsidRPr="002A7200" w:rsidRDefault="001555C5" w:rsidP="001555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490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 Using marijuana past month</w:t>
            </w:r>
          </w:p>
        </w:tc>
      </w:tr>
      <w:tr w:rsidR="001555C5" w:rsidRPr="002A7200" w:rsidTr="002A72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1555C5" w:rsidRPr="002A7200" w:rsidRDefault="001555C5" w:rsidP="001555C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2001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33.2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30.3</w:t>
            </w:r>
          </w:p>
        </w:tc>
      </w:tr>
      <w:tr w:rsidR="001555C5" w:rsidRPr="002A7200" w:rsidTr="002A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1555C5" w:rsidRPr="002A7200" w:rsidRDefault="001555C5" w:rsidP="001555C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2009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26.3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24.6</w:t>
            </w:r>
          </w:p>
        </w:tc>
      </w:tr>
      <w:tr w:rsidR="001555C5" w:rsidRPr="002A7200" w:rsidTr="002A72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1555C5" w:rsidRPr="002A7200" w:rsidRDefault="001555C5" w:rsidP="001555C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2011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26.3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24.4</w:t>
            </w:r>
          </w:p>
        </w:tc>
      </w:tr>
      <w:tr w:rsidR="001555C5" w:rsidRPr="002A7200" w:rsidTr="002A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1555C5" w:rsidRPr="002A7200" w:rsidRDefault="001555C5" w:rsidP="001555C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2013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23.9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25.7</w:t>
            </w:r>
          </w:p>
        </w:tc>
      </w:tr>
      <w:tr w:rsidR="001555C5" w:rsidRPr="002A7200" w:rsidTr="002A72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1555C5" w:rsidRPr="002A7200" w:rsidRDefault="001555C5" w:rsidP="001555C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4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 Initial use of marijuana before age 13</w:t>
            </w:r>
          </w:p>
        </w:tc>
      </w:tr>
      <w:tr w:rsidR="001555C5" w:rsidRPr="002A7200" w:rsidTr="002A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1555C5" w:rsidRPr="002A7200" w:rsidRDefault="001555C5" w:rsidP="001555C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2001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12.8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12.2</w:t>
            </w:r>
          </w:p>
        </w:tc>
      </w:tr>
      <w:tr w:rsidR="001555C5" w:rsidRPr="002A7200" w:rsidTr="002A72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1555C5" w:rsidRPr="002A7200" w:rsidRDefault="001555C5" w:rsidP="001555C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2009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8.3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9.8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8.7</w:t>
            </w:r>
          </w:p>
        </w:tc>
      </w:tr>
      <w:tr w:rsidR="001555C5" w:rsidRPr="002A7200" w:rsidTr="002A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1555C5" w:rsidRPr="002A7200" w:rsidRDefault="001555C5" w:rsidP="001555C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2011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7.1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1555C5" w:rsidRPr="002A7200" w:rsidTr="002A72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1555C5" w:rsidRPr="002A7200" w:rsidRDefault="001555C5" w:rsidP="001555C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2013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6.8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49" w:type="dxa"/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9" w:type="dxa"/>
            <w:tcBorders>
              <w:bottom w:val="single" w:sz="18" w:space="0" w:color="auto"/>
              <w:right w:val="single" w:sz="4" w:space="0" w:color="auto"/>
            </w:tcBorders>
            <w:noWrap/>
            <w:hideMark/>
          </w:tcPr>
          <w:p w:rsidR="001555C5" w:rsidRPr="002A7200" w:rsidRDefault="001555C5" w:rsidP="0015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8.4</w:t>
            </w:r>
          </w:p>
        </w:tc>
      </w:tr>
    </w:tbl>
    <w:p w:rsidR="001555C5" w:rsidRDefault="001555C5" w:rsidP="00355BEF">
      <w:pPr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FBBDD" wp14:editId="0786CEA0">
                <wp:simplePos x="0" y="0"/>
                <wp:positionH relativeFrom="column">
                  <wp:posOffset>885825</wp:posOffset>
                </wp:positionH>
                <wp:positionV relativeFrom="paragraph">
                  <wp:posOffset>2905125</wp:posOffset>
                </wp:positionV>
                <wp:extent cx="64770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Default="00CE7934" w:rsidP="001555C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RI Indicators greater than national averages are shown in red.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2E6C51" w:rsidRDefault="00CE7934" w:rsidP="001555C5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RI indicators</w:t>
                            </w:r>
                            <w:r w:rsidRPr="00F713CD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less than national averages are shown in green</w:t>
                            </w:r>
                            <w:r w:rsidRPr="00F713CD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  <w:r w:rsidR="002E6C51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:rsidR="002E6C51" w:rsidRPr="002E6C51" w:rsidRDefault="002E6C51" w:rsidP="002E6C5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 Youth Risk Behavior Survey, Centers for Disease Control</w:t>
                            </w:r>
                          </w:p>
                          <w:p w:rsidR="002E6C51" w:rsidRPr="00F713CD" w:rsidRDefault="002E6C51" w:rsidP="001555C5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9.75pt;margin-top:228.75pt;width:510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" stroked="f">
                <v:textbox style="mso-fit-shape-to-text:t">
                  <w:txbxContent>
                    <w:p w:rsidR="00CE7934" w:rsidRDefault="00CE7934" w:rsidP="001555C5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RI Indicators greater than national averages are shown in red.</w:t>
                      </w:r>
                      <w:r w:rsidRPr="00F713CD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2E6C51" w:rsidRDefault="00CE7934" w:rsidP="001555C5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RI indicators</w:t>
                      </w:r>
                      <w:r w:rsidRPr="00F713CD">
                        <w:rPr>
                          <w:b/>
                          <w:color w:val="00B050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</w:rPr>
                        <w:t>less than national averages are shown in green</w:t>
                      </w:r>
                      <w:r w:rsidRPr="00F713CD">
                        <w:rPr>
                          <w:b/>
                          <w:color w:val="00B050"/>
                        </w:rPr>
                        <w:t>.</w:t>
                      </w:r>
                      <w:r w:rsidR="002E6C51">
                        <w:rPr>
                          <w:b/>
                          <w:color w:val="00B050"/>
                        </w:rPr>
                        <w:t xml:space="preserve"> </w:t>
                      </w:r>
                    </w:p>
                    <w:p w:rsidR="002E6C51" w:rsidRPr="002E6C51" w:rsidRDefault="002E6C51" w:rsidP="002E6C5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 Youth Risk Behavior Survey, Centers for Disease Control</w:t>
                      </w:r>
                    </w:p>
                    <w:p w:rsidR="002E6C51" w:rsidRPr="00F713CD" w:rsidRDefault="002E6C51" w:rsidP="001555C5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5C5">
        <w:rPr>
          <w:rFonts w:asciiTheme="majorHAnsi" w:eastAsia="Times New Roman" w:hAnsiTheme="majorHAnsi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19296" wp14:editId="0C5162C1">
                <wp:simplePos x="0" y="0"/>
                <wp:positionH relativeFrom="column">
                  <wp:posOffset>895350</wp:posOffset>
                </wp:positionH>
                <wp:positionV relativeFrom="paragraph">
                  <wp:posOffset>38100</wp:posOffset>
                </wp:positionV>
                <wp:extent cx="6438900" cy="6000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1555C5" w:rsidRDefault="00CE793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555C5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RI vs. Region comparison on Marijuana Consumption Indicators for underage population (&lt;18), 2001-2013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0.5pt;margin-top:3pt;width:507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" stroked="f">
                <v:textbox>
                  <w:txbxContent>
                    <w:p w:rsidR="00CE7934" w:rsidRPr="001555C5" w:rsidRDefault="00CE7934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555C5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RI vs. Region comparison on Marijuana Consumption Indicators for underage population (&lt;18), 2001-2013</w:t>
                      </w:r>
                    </w:p>
                  </w:txbxContent>
                </v:textbox>
              </v:shape>
            </w:pict>
          </mc:Fallback>
        </mc:AlternateContent>
      </w:r>
    </w:p>
    <w:p w:rsidR="001555C5" w:rsidRPr="001555C5" w:rsidRDefault="001555C5" w:rsidP="001555C5">
      <w:pPr>
        <w:rPr>
          <w:rFonts w:ascii="Cambria" w:eastAsia="Times New Roman" w:hAnsi="Cambria" w:cs="Times New Roman"/>
          <w:sz w:val="28"/>
          <w:szCs w:val="28"/>
        </w:rPr>
      </w:pPr>
    </w:p>
    <w:p w:rsidR="001555C5" w:rsidRPr="001555C5" w:rsidRDefault="001555C5" w:rsidP="001555C5">
      <w:pPr>
        <w:rPr>
          <w:rFonts w:ascii="Cambria" w:eastAsia="Times New Roman" w:hAnsi="Cambria" w:cs="Times New Roman"/>
          <w:sz w:val="28"/>
          <w:szCs w:val="28"/>
        </w:rPr>
      </w:pPr>
    </w:p>
    <w:p w:rsidR="001555C5" w:rsidRPr="001555C5" w:rsidRDefault="001555C5" w:rsidP="001555C5">
      <w:pPr>
        <w:rPr>
          <w:rFonts w:ascii="Cambria" w:eastAsia="Times New Roman" w:hAnsi="Cambria" w:cs="Times New Roman"/>
          <w:sz w:val="28"/>
          <w:szCs w:val="28"/>
        </w:rPr>
      </w:pPr>
    </w:p>
    <w:p w:rsidR="001555C5" w:rsidRPr="001555C5" w:rsidRDefault="001555C5" w:rsidP="001555C5">
      <w:pPr>
        <w:rPr>
          <w:rFonts w:ascii="Cambria" w:eastAsia="Times New Roman" w:hAnsi="Cambria" w:cs="Times New Roman"/>
          <w:sz w:val="28"/>
          <w:szCs w:val="28"/>
        </w:rPr>
      </w:pPr>
    </w:p>
    <w:p w:rsidR="001555C5" w:rsidRPr="001555C5" w:rsidRDefault="001555C5" w:rsidP="001555C5">
      <w:pPr>
        <w:rPr>
          <w:rFonts w:ascii="Cambria" w:eastAsia="Times New Roman" w:hAnsi="Cambria" w:cs="Times New Roman"/>
          <w:sz w:val="28"/>
          <w:szCs w:val="28"/>
        </w:rPr>
      </w:pPr>
    </w:p>
    <w:p w:rsidR="001555C5" w:rsidRPr="001555C5" w:rsidRDefault="001555C5" w:rsidP="001555C5">
      <w:pPr>
        <w:rPr>
          <w:rFonts w:ascii="Cambria" w:eastAsia="Times New Roman" w:hAnsi="Cambria" w:cs="Times New Roman"/>
          <w:sz w:val="28"/>
          <w:szCs w:val="28"/>
        </w:rPr>
      </w:pPr>
    </w:p>
    <w:p w:rsidR="001555C5" w:rsidRPr="001555C5" w:rsidRDefault="001555C5" w:rsidP="001555C5">
      <w:pPr>
        <w:rPr>
          <w:rFonts w:ascii="Cambria" w:eastAsia="Times New Roman" w:hAnsi="Cambria" w:cs="Times New Roman"/>
          <w:sz w:val="28"/>
          <w:szCs w:val="28"/>
        </w:rPr>
      </w:pPr>
    </w:p>
    <w:p w:rsidR="001555C5" w:rsidRPr="001555C5" w:rsidRDefault="001555C5" w:rsidP="001555C5">
      <w:pPr>
        <w:rPr>
          <w:rFonts w:ascii="Cambria" w:eastAsia="Times New Roman" w:hAnsi="Cambria" w:cs="Times New Roman"/>
          <w:sz w:val="28"/>
          <w:szCs w:val="28"/>
        </w:rPr>
      </w:pPr>
    </w:p>
    <w:p w:rsidR="001555C5" w:rsidRPr="001555C5" w:rsidRDefault="002A7200" w:rsidP="001555C5">
      <w:pPr>
        <w:rPr>
          <w:rFonts w:ascii="Cambria" w:eastAsia="Times New Roman" w:hAnsi="Cambria" w:cs="Times New Roman"/>
          <w:sz w:val="28"/>
          <w:szCs w:val="28"/>
        </w:rPr>
      </w:pPr>
      <w:r w:rsidRPr="002A7200">
        <w:rPr>
          <w:rFonts w:ascii="Cambria" w:eastAsia="Times New Roman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BB7B3" wp14:editId="3BF30699">
                <wp:simplePos x="0" y="0"/>
                <wp:positionH relativeFrom="column">
                  <wp:posOffset>939800</wp:posOffset>
                </wp:positionH>
                <wp:positionV relativeFrom="paragraph">
                  <wp:posOffset>290195</wp:posOffset>
                </wp:positionV>
                <wp:extent cx="6343650" cy="5619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2A7200" w:rsidRDefault="00CE793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RI vs. Region Comparison on Prescription Drug</w:t>
                            </w:r>
                            <w:r w:rsidRPr="002A7200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Consumption Indicators for underage population (&lt;18), 2011-2013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4pt;margin-top:22.85pt;width:499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" stroked="f">
                <v:textbox>
                  <w:txbxContent>
                    <w:p w:rsidR="00CE7934" w:rsidRPr="002A7200" w:rsidRDefault="00CE7934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RI vs. Region Comparison on Prescription Drug</w:t>
                      </w:r>
                      <w:r w:rsidRPr="002A7200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Consumption Indicators for underage population (&lt;18), 2011-2013</w:t>
                      </w:r>
                    </w:p>
                  </w:txbxContent>
                </v:textbox>
              </v:shape>
            </w:pict>
          </mc:Fallback>
        </mc:AlternateContent>
      </w:r>
    </w:p>
    <w:p w:rsidR="001555C5" w:rsidRDefault="001555C5" w:rsidP="001555C5">
      <w:pPr>
        <w:rPr>
          <w:rFonts w:ascii="Cambria" w:eastAsia="Times New Roman" w:hAnsi="Cambria" w:cs="Times New Roman"/>
          <w:sz w:val="28"/>
          <w:szCs w:val="28"/>
        </w:rPr>
      </w:pPr>
    </w:p>
    <w:tbl>
      <w:tblPr>
        <w:tblStyle w:val="MediumShading2-Accent1"/>
        <w:tblpPr w:leftFromText="180" w:rightFromText="180" w:vertAnchor="text" w:horzAnchor="margin" w:tblpXSpec="center" w:tblpY="264"/>
        <w:tblW w:w="10003" w:type="dxa"/>
        <w:tblLook w:val="04A0" w:firstRow="1" w:lastRow="0" w:firstColumn="1" w:lastColumn="0" w:noHBand="0" w:noVBand="1"/>
      </w:tblPr>
      <w:tblGrid>
        <w:gridCol w:w="690"/>
        <w:gridCol w:w="1102"/>
        <w:gridCol w:w="1102"/>
        <w:gridCol w:w="670"/>
        <w:gridCol w:w="932"/>
        <w:gridCol w:w="1102"/>
        <w:gridCol w:w="1102"/>
        <w:gridCol w:w="1102"/>
        <w:gridCol w:w="759"/>
        <w:gridCol w:w="735"/>
        <w:gridCol w:w="707"/>
      </w:tblGrid>
      <w:tr w:rsidR="002A7200" w:rsidRPr="002A7200" w:rsidTr="002A7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2" w:type="dxa"/>
            <w:gridSpan w:val="2"/>
            <w:noWrap/>
            <w:hideMark/>
          </w:tcPr>
          <w:p w:rsidR="002A7200" w:rsidRPr="002A7200" w:rsidRDefault="002A7200" w:rsidP="002A7200">
            <w:pPr>
              <w:jc w:val="righ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USA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RI</w:t>
            </w:r>
          </w:p>
        </w:tc>
        <w:tc>
          <w:tcPr>
            <w:tcW w:w="670" w:type="dxa"/>
            <w:noWrap/>
            <w:hideMark/>
          </w:tcPr>
          <w:p w:rsidR="002A7200" w:rsidRPr="002A7200" w:rsidRDefault="002A7200" w:rsidP="002A7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CT</w:t>
            </w:r>
          </w:p>
        </w:tc>
        <w:tc>
          <w:tcPr>
            <w:tcW w:w="932" w:type="dxa"/>
            <w:noWrap/>
            <w:hideMark/>
          </w:tcPr>
          <w:p w:rsidR="002A7200" w:rsidRPr="002A7200" w:rsidRDefault="002A7200" w:rsidP="002A7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MA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ME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NH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NJ</w:t>
            </w:r>
          </w:p>
        </w:tc>
        <w:tc>
          <w:tcPr>
            <w:tcW w:w="759" w:type="dxa"/>
            <w:noWrap/>
            <w:hideMark/>
          </w:tcPr>
          <w:p w:rsidR="002A7200" w:rsidRPr="002A7200" w:rsidRDefault="002A7200" w:rsidP="002A7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NY</w:t>
            </w:r>
          </w:p>
        </w:tc>
        <w:tc>
          <w:tcPr>
            <w:tcW w:w="735" w:type="dxa"/>
            <w:noWrap/>
            <w:hideMark/>
          </w:tcPr>
          <w:p w:rsidR="002A7200" w:rsidRPr="002A7200" w:rsidRDefault="002A7200" w:rsidP="002A7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PA</w:t>
            </w:r>
          </w:p>
        </w:tc>
        <w:tc>
          <w:tcPr>
            <w:tcW w:w="707" w:type="dxa"/>
            <w:noWrap/>
            <w:hideMark/>
          </w:tcPr>
          <w:p w:rsidR="002A7200" w:rsidRPr="002A7200" w:rsidRDefault="002A7200" w:rsidP="002A7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VT</w:t>
            </w:r>
          </w:p>
        </w:tc>
      </w:tr>
      <w:tr w:rsidR="002A7200" w:rsidRPr="002A7200" w:rsidTr="002A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2A7200" w:rsidRPr="002A7200" w:rsidRDefault="002A7200" w:rsidP="002A720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313" w:type="dxa"/>
            <w:gridSpan w:val="10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2A7200" w:rsidRPr="002A7200" w:rsidRDefault="002A7200" w:rsidP="002A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% </w:t>
            </w: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Ever took prescription drugs without a doctor's prescription</w:t>
            </w:r>
          </w:p>
        </w:tc>
      </w:tr>
      <w:tr w:rsidR="002A7200" w:rsidRPr="002A7200" w:rsidTr="002A72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2A7200" w:rsidRPr="002A7200" w:rsidRDefault="002A7200" w:rsidP="002A7200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2011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14.1</w:t>
            </w:r>
          </w:p>
        </w:tc>
        <w:tc>
          <w:tcPr>
            <w:tcW w:w="670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3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59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5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7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</w:tr>
      <w:tr w:rsidR="002A7200" w:rsidRPr="002A7200" w:rsidTr="002A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:rsidR="002A7200" w:rsidRPr="002A7200" w:rsidRDefault="002A7200" w:rsidP="002A7200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sz w:val="20"/>
                <w:szCs w:val="20"/>
              </w:rPr>
              <w:t>2013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13.5</w:t>
            </w:r>
          </w:p>
        </w:tc>
        <w:tc>
          <w:tcPr>
            <w:tcW w:w="670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3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102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59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5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7" w:type="dxa"/>
            <w:noWrap/>
            <w:hideMark/>
          </w:tcPr>
          <w:p w:rsidR="002A7200" w:rsidRPr="002A7200" w:rsidRDefault="002A7200" w:rsidP="002A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A720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--</w:t>
            </w:r>
          </w:p>
        </w:tc>
      </w:tr>
    </w:tbl>
    <w:p w:rsidR="001555C5" w:rsidRPr="001555C5" w:rsidRDefault="001555C5" w:rsidP="001555C5">
      <w:pPr>
        <w:tabs>
          <w:tab w:val="left" w:pos="4905"/>
        </w:tabs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ab/>
      </w:r>
    </w:p>
    <w:p w:rsidR="002A7200" w:rsidRDefault="002A7200" w:rsidP="001555C5">
      <w:pPr>
        <w:tabs>
          <w:tab w:val="left" w:pos="4905"/>
        </w:tabs>
        <w:rPr>
          <w:rFonts w:ascii="Cambria" w:eastAsia="Times New Roman" w:hAnsi="Cambria" w:cs="Times New Roman"/>
          <w:sz w:val="28"/>
          <w:szCs w:val="28"/>
        </w:rPr>
      </w:pPr>
    </w:p>
    <w:p w:rsidR="002A7200" w:rsidRDefault="002A7200">
      <w:pPr>
        <w:rPr>
          <w:rFonts w:ascii="Cambria" w:eastAsia="Times New Roman" w:hAnsi="Cambria" w:cs="Times New Roman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93601" wp14:editId="38198A46">
                <wp:simplePos x="0" y="0"/>
                <wp:positionH relativeFrom="column">
                  <wp:posOffset>942975</wp:posOffset>
                </wp:positionH>
                <wp:positionV relativeFrom="paragraph">
                  <wp:posOffset>309245</wp:posOffset>
                </wp:positionV>
                <wp:extent cx="647700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Default="00CE7934" w:rsidP="002A720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RI Indicators greater than national averages are shown in red.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CE7934" w:rsidRDefault="00CE7934" w:rsidP="002A7200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RI indicators</w:t>
                            </w:r>
                            <w:r w:rsidRPr="00F713CD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less than national averages are shown in green</w:t>
                            </w:r>
                            <w:r w:rsidRPr="00F713CD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  <w:p w:rsidR="002E6C51" w:rsidRPr="002E6C51" w:rsidRDefault="002E6C51" w:rsidP="002E6C5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 Youth Risk Behavior Survey, Centers for Disease Control</w:t>
                            </w:r>
                          </w:p>
                          <w:p w:rsidR="002E6C51" w:rsidRPr="00F713CD" w:rsidRDefault="002E6C51" w:rsidP="002A7200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74.25pt;margin-top:24.35pt;width:510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" stroked="f">
                <v:textbox style="mso-fit-shape-to-text:t">
                  <w:txbxContent>
                    <w:p w:rsidR="00CE7934" w:rsidRDefault="00CE7934" w:rsidP="002A720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RI Indicators greater than national averages are shown in red.</w:t>
                      </w:r>
                      <w:r w:rsidRPr="00F713CD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CE7934" w:rsidRDefault="00CE7934" w:rsidP="002A7200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RI indicators</w:t>
                      </w:r>
                      <w:r w:rsidRPr="00F713CD">
                        <w:rPr>
                          <w:b/>
                          <w:color w:val="00B050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</w:rPr>
                        <w:t>less than national averages are shown in green</w:t>
                      </w:r>
                      <w:r w:rsidRPr="00F713CD">
                        <w:rPr>
                          <w:b/>
                          <w:color w:val="00B050"/>
                        </w:rPr>
                        <w:t>.</w:t>
                      </w:r>
                    </w:p>
                    <w:p w:rsidR="002E6C51" w:rsidRPr="002E6C51" w:rsidRDefault="002E6C51" w:rsidP="002E6C5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 Youth Risk Behavior Survey, Centers for Disease Control</w:t>
                      </w:r>
                    </w:p>
                    <w:p w:rsidR="002E6C51" w:rsidRPr="00F713CD" w:rsidRDefault="002E6C51" w:rsidP="002A7200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sz w:val="28"/>
          <w:szCs w:val="28"/>
        </w:rPr>
        <w:br w:type="page"/>
      </w:r>
    </w:p>
    <w:tbl>
      <w:tblPr>
        <w:tblStyle w:val="MediumShading1-Accent1"/>
        <w:tblpPr w:leftFromText="180" w:rightFromText="180" w:horzAnchor="page" w:tblpXSpec="center" w:tblpY="465"/>
        <w:tblW w:w="14278" w:type="dxa"/>
        <w:tblLook w:val="04A0" w:firstRow="1" w:lastRow="0" w:firstColumn="1" w:lastColumn="0" w:noHBand="0" w:noVBand="1"/>
      </w:tblPr>
      <w:tblGrid>
        <w:gridCol w:w="1185"/>
        <w:gridCol w:w="670"/>
        <w:gridCol w:w="810"/>
        <w:gridCol w:w="810"/>
        <w:gridCol w:w="630"/>
        <w:gridCol w:w="630"/>
        <w:gridCol w:w="810"/>
        <w:gridCol w:w="810"/>
        <w:gridCol w:w="720"/>
        <w:gridCol w:w="633"/>
        <w:gridCol w:w="810"/>
        <w:gridCol w:w="810"/>
        <w:gridCol w:w="720"/>
        <w:gridCol w:w="720"/>
        <w:gridCol w:w="618"/>
        <w:gridCol w:w="760"/>
        <w:gridCol w:w="900"/>
        <w:gridCol w:w="630"/>
        <w:gridCol w:w="630"/>
      </w:tblGrid>
      <w:tr w:rsidR="00710E26" w:rsidRPr="00710E26" w:rsidTr="00187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710E26" w:rsidRPr="00026436" w:rsidRDefault="00710E26" w:rsidP="0018755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10E26" w:rsidRPr="00026436" w:rsidRDefault="00710E26" w:rsidP="00187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sz w:val="20"/>
                <w:szCs w:val="20"/>
              </w:rPr>
              <w:t>2004-05</w:t>
            </w:r>
          </w:p>
        </w:tc>
        <w:tc>
          <w:tcPr>
            <w:tcW w:w="2970" w:type="dxa"/>
            <w:gridSpan w:val="4"/>
            <w:tcBorders>
              <w:top w:val="single" w:sz="18" w:space="0" w:color="auto"/>
              <w:left w:val="single" w:sz="4" w:space="0" w:color="7BA0CD" w:themeColor="accent1" w:themeTint="BF"/>
              <w:bottom w:val="single" w:sz="4" w:space="0" w:color="auto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10E26" w:rsidRPr="00026436" w:rsidRDefault="00710E26" w:rsidP="00187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sz w:val="20"/>
                <w:szCs w:val="20"/>
              </w:rPr>
              <w:t>2007-08</w:t>
            </w:r>
          </w:p>
        </w:tc>
        <w:tc>
          <w:tcPr>
            <w:tcW w:w="3693" w:type="dxa"/>
            <w:gridSpan w:val="5"/>
            <w:tcBorders>
              <w:top w:val="single" w:sz="18" w:space="0" w:color="auto"/>
              <w:left w:val="single" w:sz="4" w:space="0" w:color="7BA0CD" w:themeColor="accent1" w:themeTint="BF"/>
              <w:bottom w:val="single" w:sz="4" w:space="0" w:color="auto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10E26" w:rsidRPr="00026436" w:rsidRDefault="00710E26" w:rsidP="00187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sz w:val="20"/>
                <w:szCs w:val="20"/>
              </w:rPr>
              <w:t>2011-2012</w:t>
            </w:r>
          </w:p>
        </w:tc>
        <w:tc>
          <w:tcPr>
            <w:tcW w:w="3510" w:type="dxa"/>
            <w:gridSpan w:val="5"/>
            <w:tcBorders>
              <w:top w:val="single" w:sz="18" w:space="0" w:color="auto"/>
              <w:left w:val="single" w:sz="4" w:space="0" w:color="7BA0CD" w:themeColor="accent1" w:themeTint="BF"/>
              <w:bottom w:val="single" w:sz="4" w:space="0" w:color="auto"/>
            </w:tcBorders>
            <w:noWrap/>
            <w:vAlign w:val="center"/>
            <w:hideMark/>
          </w:tcPr>
          <w:p w:rsidR="00710E26" w:rsidRPr="00026436" w:rsidRDefault="00710E26" w:rsidP="00187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sz w:val="20"/>
                <w:szCs w:val="20"/>
              </w:rPr>
              <w:t>2012-2013</w:t>
            </w:r>
          </w:p>
        </w:tc>
      </w:tr>
      <w:tr w:rsidR="00710E26" w:rsidRPr="00710E26" w:rsidTr="00187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18+</w:t>
            </w:r>
          </w:p>
        </w:tc>
      </w:tr>
      <w:tr w:rsidR="00710E26" w:rsidRPr="00710E26" w:rsidTr="00242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19.99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19.22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8.97</w:t>
            </w:r>
          </w:p>
        </w:tc>
      </w:tr>
      <w:tr w:rsidR="00710E26" w:rsidRPr="00710E26" w:rsidTr="00710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81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81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17.47</w:t>
            </w:r>
          </w:p>
        </w:tc>
        <w:tc>
          <w:tcPr>
            <w:tcW w:w="63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63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81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81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72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633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81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81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72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72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59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76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90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63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63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BC4C35" w:rsidP="000264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7.08</w:t>
            </w:r>
            <w:bookmarkStart w:id="0" w:name="_GoBack"/>
            <w:bookmarkEnd w:id="0"/>
          </w:p>
        </w:tc>
      </w:tr>
      <w:tr w:rsidR="00710E26" w:rsidRPr="00710E26" w:rsidTr="001875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710E26" w:rsidRPr="00026436" w:rsidRDefault="00710E26" w:rsidP="0002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45061B" w:rsidRPr="00710E26" w:rsidTr="00187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E26" w:rsidRPr="00026436" w:rsidRDefault="00710E26" w:rsidP="0002643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670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24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1.07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24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1.02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24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1.14</w:t>
            </w:r>
          </w:p>
        </w:tc>
        <w:tc>
          <w:tcPr>
            <w:tcW w:w="6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24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1.03</w:t>
            </w:r>
          </w:p>
        </w:tc>
        <w:tc>
          <w:tcPr>
            <w:tcW w:w="6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24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1.04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24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1.03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24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1.05</w:t>
            </w:r>
          </w:p>
        </w:tc>
        <w:tc>
          <w:tcPr>
            <w:tcW w:w="7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24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1.01</w:t>
            </w:r>
          </w:p>
        </w:tc>
        <w:tc>
          <w:tcPr>
            <w:tcW w:w="63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24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1.33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BC4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</w:t>
            </w:r>
            <w:r w:rsidR="00BC4C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BC4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</w:t>
            </w:r>
            <w:r w:rsidR="00BC4C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BC4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</w:t>
            </w:r>
            <w:r w:rsidR="00BC4C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BC4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</w:t>
            </w:r>
            <w:r w:rsidR="00BC4C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59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BC4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</w:t>
            </w:r>
            <w:r w:rsidR="00BC4C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BC4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</w:t>
            </w:r>
            <w:r w:rsidR="00BC4C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BC4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</w:t>
            </w:r>
            <w:r w:rsidR="00BC4C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BC4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</w:t>
            </w:r>
            <w:r w:rsidR="00BC4C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  <w:hideMark/>
          </w:tcPr>
          <w:p w:rsidR="00710E26" w:rsidRPr="00026436" w:rsidRDefault="00710E26" w:rsidP="00BC4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02643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</w:t>
            </w:r>
            <w:r w:rsidR="00BC4C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</w:tbl>
    <w:p w:rsidR="002A7200" w:rsidRDefault="00242995" w:rsidP="001555C5">
      <w:pPr>
        <w:tabs>
          <w:tab w:val="left" w:pos="4905"/>
        </w:tabs>
        <w:rPr>
          <w:rFonts w:ascii="Cambria" w:eastAsia="Times New Roman" w:hAnsi="Cambria" w:cs="Times New Roman"/>
          <w:sz w:val="28"/>
          <w:szCs w:val="28"/>
        </w:rPr>
      </w:pPr>
      <w:r w:rsidRPr="00026436">
        <w:rPr>
          <w:rFonts w:ascii="Cambria" w:eastAsia="Times New Roman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E0F8E" wp14:editId="345798B2">
                <wp:simplePos x="0" y="0"/>
                <wp:positionH relativeFrom="column">
                  <wp:posOffset>-419100</wp:posOffset>
                </wp:positionH>
                <wp:positionV relativeFrom="paragraph">
                  <wp:posOffset>-38100</wp:posOffset>
                </wp:positionV>
                <wp:extent cx="9067800" cy="323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710E26" w:rsidRDefault="00CE79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RI vs. US Comparison </w:t>
                            </w:r>
                            <w:r w:rsidRPr="00710E26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DSM-IV Alcohol Abuse or </w:t>
                            </w:r>
                            <w:r w:rsidRPr="00026436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Dependence (%)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by Age Group</w:t>
                            </w:r>
                            <w:r w:rsidRPr="00710E26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; Time-trend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3pt;margin-top:-3pt;width:714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" stroked="f">
                <v:textbox>
                  <w:txbxContent>
                    <w:p w:rsidR="00CE7934" w:rsidRPr="00710E26" w:rsidRDefault="00CE79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RI vs. US Comparison </w:t>
                      </w:r>
                      <w:r w:rsidRPr="00710E26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DSM-IV Alcohol Abuse or </w:t>
                      </w:r>
                      <w:r w:rsidRPr="00026436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Dependence (%)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by Age Group</w:t>
                      </w:r>
                      <w:r w:rsidRPr="00710E26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; Time-trend</w:t>
                      </w:r>
                    </w:p>
                  </w:txbxContent>
                </v:textbox>
              </v:shape>
            </w:pict>
          </mc:Fallback>
        </mc:AlternateContent>
      </w: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25480" wp14:editId="0C709E1A">
                <wp:simplePos x="0" y="0"/>
                <wp:positionH relativeFrom="column">
                  <wp:posOffset>-423545</wp:posOffset>
                </wp:positionH>
                <wp:positionV relativeFrom="paragraph">
                  <wp:posOffset>1649095</wp:posOffset>
                </wp:positionV>
                <wp:extent cx="671512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F713CD" w:rsidRDefault="00CE7934" w:rsidP="0024299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>Ratios greater than 1 indicate those consumption patterns where RI exceeds the US average.</w:t>
                            </w:r>
                          </w:p>
                          <w:p w:rsidR="00CE7934" w:rsidRDefault="00CE7934" w:rsidP="00242995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F713CD">
                              <w:rPr>
                                <w:b/>
                                <w:color w:val="00B050"/>
                              </w:rPr>
                              <w:t>Ratios smaller than 1 indicate those consumption patterns where RI is lower than the US average.</w:t>
                            </w:r>
                          </w:p>
                          <w:p w:rsidR="002E6C51" w:rsidRPr="002E6C51" w:rsidRDefault="002E6C51" w:rsidP="0024299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National Survey on Drug Use and Health, SAMHSA.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33.35pt;margin-top:129.85pt;width:528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" stroked="f">
                <v:textbox style="mso-fit-shape-to-text:t">
                  <w:txbxContent>
                    <w:p w:rsidR="00CE7934" w:rsidRPr="00F713CD" w:rsidRDefault="00CE7934" w:rsidP="00242995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3CD">
                        <w:rPr>
                          <w:b/>
                          <w:color w:val="FF0000"/>
                        </w:rPr>
                        <w:t>Ratios greater than 1 indicate those consumption patterns where RI exceeds the US average.</w:t>
                      </w:r>
                    </w:p>
                    <w:p w:rsidR="00CE7934" w:rsidRDefault="00CE7934" w:rsidP="00242995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F713CD">
                        <w:rPr>
                          <w:b/>
                          <w:color w:val="00B050"/>
                        </w:rPr>
                        <w:t>Ratios smaller than 1 indicate those consumption patterns where RI is lower than the US average.</w:t>
                      </w:r>
                    </w:p>
                    <w:p w:rsidR="002E6C51" w:rsidRPr="002E6C51" w:rsidRDefault="002E6C51" w:rsidP="0024299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National Survey on Drug Use and Health, SAMHSA.</w:t>
                      </w:r>
                    </w:p>
                  </w:txbxContent>
                </v:textbox>
              </v:shape>
            </w:pict>
          </mc:Fallback>
        </mc:AlternateContent>
      </w:r>
    </w:p>
    <w:p w:rsidR="00242995" w:rsidRDefault="00242995" w:rsidP="00242995">
      <w:pPr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221615</wp:posOffset>
            </wp:positionV>
            <wp:extent cx="6867525" cy="4143375"/>
            <wp:effectExtent l="0" t="0" r="0" b="0"/>
            <wp:wrapThrough wrapText="bothSides">
              <wp:wrapPolygon edited="0">
                <wp:start x="2576" y="596"/>
                <wp:lineTo x="1019" y="2185"/>
                <wp:lineTo x="1079" y="2582"/>
                <wp:lineTo x="9826" y="3972"/>
                <wp:lineTo x="10785" y="3972"/>
                <wp:lineTo x="10845" y="5561"/>
                <wp:lineTo x="719" y="5661"/>
                <wp:lineTo x="360" y="5760"/>
                <wp:lineTo x="419" y="16684"/>
                <wp:lineTo x="4853" y="16684"/>
                <wp:lineTo x="4853" y="18273"/>
                <wp:lineTo x="2397" y="19167"/>
                <wp:lineTo x="1198" y="19663"/>
                <wp:lineTo x="1198" y="20061"/>
                <wp:lineTo x="4314" y="21451"/>
                <wp:lineTo x="4853" y="21451"/>
                <wp:lineTo x="21510" y="21451"/>
                <wp:lineTo x="21510" y="16088"/>
                <wp:lineTo x="10725" y="15095"/>
                <wp:lineTo x="899" y="13506"/>
                <wp:lineTo x="20971" y="12017"/>
                <wp:lineTo x="21151" y="10428"/>
                <wp:lineTo x="20312" y="10328"/>
                <wp:lineTo x="899" y="10328"/>
                <wp:lineTo x="21270" y="9633"/>
                <wp:lineTo x="21330" y="9137"/>
                <wp:lineTo x="10785" y="8739"/>
                <wp:lineTo x="21330" y="8441"/>
                <wp:lineTo x="21211" y="7150"/>
                <wp:lineTo x="21450" y="5661"/>
                <wp:lineTo x="20731" y="5561"/>
                <wp:lineTo x="10785" y="5561"/>
                <wp:lineTo x="20971" y="4966"/>
                <wp:lineTo x="20971" y="4469"/>
                <wp:lineTo x="10785" y="3972"/>
                <wp:lineTo x="20911" y="3774"/>
                <wp:lineTo x="20791" y="3277"/>
                <wp:lineTo x="1618" y="2383"/>
                <wp:lineTo x="18634" y="1589"/>
                <wp:lineTo x="18994" y="894"/>
                <wp:lineTo x="17795" y="596"/>
                <wp:lineTo x="2576" y="596"/>
              </wp:wrapPolygon>
            </wp:wrapThrough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200">
        <w:rPr>
          <w:rFonts w:ascii="Cambria" w:eastAsia="Times New Roman" w:hAnsi="Cambria" w:cs="Times New Roman"/>
          <w:sz w:val="28"/>
          <w:szCs w:val="28"/>
        </w:rPr>
        <w:br w:type="page"/>
      </w:r>
    </w:p>
    <w:tbl>
      <w:tblPr>
        <w:tblStyle w:val="MediumShading1-Accent1"/>
        <w:tblpPr w:leftFromText="180" w:rightFromText="180" w:vertAnchor="page" w:horzAnchor="margin" w:tblpXSpec="center" w:tblpY="1441"/>
        <w:tblW w:w="13882" w:type="dxa"/>
        <w:tblLook w:val="04A0" w:firstRow="1" w:lastRow="0" w:firstColumn="1" w:lastColumn="0" w:noHBand="0" w:noVBand="1"/>
      </w:tblPr>
      <w:tblGrid>
        <w:gridCol w:w="1188"/>
        <w:gridCol w:w="630"/>
        <w:gridCol w:w="810"/>
        <w:gridCol w:w="810"/>
        <w:gridCol w:w="618"/>
        <w:gridCol w:w="618"/>
        <w:gridCol w:w="800"/>
        <w:gridCol w:w="810"/>
        <w:gridCol w:w="618"/>
        <w:gridCol w:w="618"/>
        <w:gridCol w:w="800"/>
        <w:gridCol w:w="810"/>
        <w:gridCol w:w="618"/>
        <w:gridCol w:w="618"/>
        <w:gridCol w:w="618"/>
        <w:gridCol w:w="840"/>
        <w:gridCol w:w="810"/>
        <w:gridCol w:w="630"/>
        <w:gridCol w:w="618"/>
      </w:tblGrid>
      <w:tr w:rsidR="008029F0" w:rsidRPr="0018755F" w:rsidTr="0080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sz w:val="20"/>
                <w:szCs w:val="20"/>
              </w:rPr>
              <w:t>2004-05</w:t>
            </w:r>
          </w:p>
        </w:tc>
        <w:tc>
          <w:tcPr>
            <w:tcW w:w="2846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sz w:val="20"/>
                <w:szCs w:val="20"/>
              </w:rPr>
              <w:t>2007-08</w:t>
            </w:r>
          </w:p>
        </w:tc>
        <w:tc>
          <w:tcPr>
            <w:tcW w:w="3464" w:type="dxa"/>
            <w:gridSpan w:val="5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sz w:val="20"/>
                <w:szCs w:val="20"/>
              </w:rPr>
              <w:t>2011-2012</w:t>
            </w:r>
          </w:p>
        </w:tc>
        <w:tc>
          <w:tcPr>
            <w:tcW w:w="3516" w:type="dxa"/>
            <w:gridSpan w:val="5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sz w:val="20"/>
                <w:szCs w:val="20"/>
              </w:rPr>
              <w:t>2012-2013</w:t>
            </w:r>
          </w:p>
        </w:tc>
      </w:tr>
      <w:tr w:rsidR="008029F0" w:rsidRPr="00852235" w:rsidTr="008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18+</w:t>
            </w:r>
          </w:p>
        </w:tc>
      </w:tr>
      <w:tr w:rsidR="008029F0" w:rsidRPr="00852235" w:rsidTr="00802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3.61</w:t>
            </w:r>
          </w:p>
        </w:tc>
      </w:tr>
      <w:tr w:rsidR="008029F0" w:rsidRPr="00852235" w:rsidTr="008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0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80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4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63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</w:tcBorders>
            <w:noWrap/>
            <w:hideMark/>
          </w:tcPr>
          <w:p w:rsidR="008029F0" w:rsidRPr="00852235" w:rsidRDefault="008029F0" w:rsidP="00802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2.60</w:t>
            </w:r>
          </w:p>
        </w:tc>
      </w:tr>
      <w:tr w:rsidR="008029F0" w:rsidRPr="00852235" w:rsidTr="00802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hideMark/>
          </w:tcPr>
          <w:p w:rsidR="008029F0" w:rsidRPr="00852235" w:rsidRDefault="008029F0" w:rsidP="00802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29F0" w:rsidRPr="00852235" w:rsidTr="008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1.23</w:t>
            </w:r>
          </w:p>
        </w:tc>
        <w:tc>
          <w:tcPr>
            <w:tcW w:w="810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1.26</w:t>
            </w:r>
          </w:p>
        </w:tc>
        <w:tc>
          <w:tcPr>
            <w:tcW w:w="810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1.47</w:t>
            </w:r>
          </w:p>
        </w:tc>
        <w:tc>
          <w:tcPr>
            <w:tcW w:w="618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0.99</w:t>
            </w:r>
          </w:p>
        </w:tc>
        <w:tc>
          <w:tcPr>
            <w:tcW w:w="618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1.58</w:t>
            </w:r>
          </w:p>
        </w:tc>
        <w:tc>
          <w:tcPr>
            <w:tcW w:w="800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1.10</w:t>
            </w:r>
          </w:p>
        </w:tc>
        <w:tc>
          <w:tcPr>
            <w:tcW w:w="810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1.59</w:t>
            </w:r>
          </w:p>
        </w:tc>
        <w:tc>
          <w:tcPr>
            <w:tcW w:w="618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1.67</w:t>
            </w:r>
          </w:p>
        </w:tc>
        <w:tc>
          <w:tcPr>
            <w:tcW w:w="618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1.04</w:t>
            </w:r>
          </w:p>
        </w:tc>
        <w:tc>
          <w:tcPr>
            <w:tcW w:w="800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1.04</w:t>
            </w:r>
          </w:p>
        </w:tc>
        <w:tc>
          <w:tcPr>
            <w:tcW w:w="810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1.04</w:t>
            </w:r>
          </w:p>
        </w:tc>
        <w:tc>
          <w:tcPr>
            <w:tcW w:w="618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1.04</w:t>
            </w:r>
          </w:p>
        </w:tc>
        <w:tc>
          <w:tcPr>
            <w:tcW w:w="618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1.04</w:t>
            </w:r>
          </w:p>
        </w:tc>
        <w:tc>
          <w:tcPr>
            <w:tcW w:w="618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1.04</w:t>
            </w:r>
          </w:p>
        </w:tc>
        <w:tc>
          <w:tcPr>
            <w:tcW w:w="840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1.04</w:t>
            </w:r>
          </w:p>
        </w:tc>
        <w:tc>
          <w:tcPr>
            <w:tcW w:w="810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1.04</w:t>
            </w:r>
          </w:p>
        </w:tc>
        <w:tc>
          <w:tcPr>
            <w:tcW w:w="630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1.04</w:t>
            </w:r>
          </w:p>
        </w:tc>
        <w:tc>
          <w:tcPr>
            <w:tcW w:w="618" w:type="dxa"/>
            <w:noWrap/>
            <w:vAlign w:val="center"/>
            <w:hideMark/>
          </w:tcPr>
          <w:p w:rsidR="008029F0" w:rsidRPr="00852235" w:rsidRDefault="008029F0" w:rsidP="0080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85223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1.04</w:t>
            </w:r>
          </w:p>
        </w:tc>
      </w:tr>
    </w:tbl>
    <w:p w:rsidR="0018755F" w:rsidRDefault="008029F0" w:rsidP="001555C5">
      <w:pPr>
        <w:tabs>
          <w:tab w:val="left" w:pos="4905"/>
        </w:tabs>
        <w:rPr>
          <w:rFonts w:ascii="Cambria" w:eastAsia="Times New Roman" w:hAnsi="Cambria" w:cs="Times New Roman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BA5FE8" wp14:editId="65FDE8C6">
                <wp:simplePos x="0" y="0"/>
                <wp:positionH relativeFrom="column">
                  <wp:posOffset>-340251</wp:posOffset>
                </wp:positionH>
                <wp:positionV relativeFrom="paragraph">
                  <wp:posOffset>1362710</wp:posOffset>
                </wp:positionV>
                <wp:extent cx="6715125" cy="1403985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F713CD" w:rsidRDefault="00CE7934" w:rsidP="0018755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>Ratios greater than 1 indicate those consumption patterns where RI exceeds the US average.</w:t>
                            </w:r>
                          </w:p>
                          <w:p w:rsidR="00CE7934" w:rsidRDefault="00CE7934" w:rsidP="0018755F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F713CD">
                              <w:rPr>
                                <w:b/>
                                <w:color w:val="00B050"/>
                              </w:rPr>
                              <w:t>Ratios smaller than 1 indicate those consumption patterns where RI is lower than the US average.</w:t>
                            </w:r>
                          </w:p>
                          <w:p w:rsidR="002E6C51" w:rsidRPr="002E6C51" w:rsidRDefault="002E6C51" w:rsidP="002E6C5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National Survey on Drug Use and Health, SAMHSA.</w:t>
                            </w:r>
                          </w:p>
                          <w:p w:rsidR="002E6C51" w:rsidRPr="00F713CD" w:rsidRDefault="002E6C51" w:rsidP="0018755F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6.8pt;margin-top:107.3pt;width:528.75pt;height:1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9NIwIAACU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" stroked="f">
                <v:textbox style="mso-fit-shape-to-text:t">
                  <w:txbxContent>
                    <w:p w:rsidR="00CE7934" w:rsidRPr="00F713CD" w:rsidRDefault="00CE7934" w:rsidP="0018755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3CD">
                        <w:rPr>
                          <w:b/>
                          <w:color w:val="FF0000"/>
                        </w:rPr>
                        <w:t>Ratios greater than 1 indicate those consumption patterns where RI exceeds the US average.</w:t>
                      </w:r>
                    </w:p>
                    <w:p w:rsidR="00CE7934" w:rsidRDefault="00CE7934" w:rsidP="0018755F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F713CD">
                        <w:rPr>
                          <w:b/>
                          <w:color w:val="00B050"/>
                        </w:rPr>
                        <w:t>Ratios smaller than 1 indicate those consumption patterns where RI is lower than the US average.</w:t>
                      </w:r>
                    </w:p>
                    <w:p w:rsidR="002E6C51" w:rsidRPr="002E6C51" w:rsidRDefault="002E6C51" w:rsidP="002E6C5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National Survey on Drug Use and Health, SAMHSA.</w:t>
                      </w:r>
                    </w:p>
                    <w:p w:rsidR="002E6C51" w:rsidRPr="00F713CD" w:rsidRDefault="002E6C51" w:rsidP="0018755F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F3D" w:rsidRPr="00026436">
        <w:rPr>
          <w:rFonts w:ascii="Cambria" w:eastAsia="Times New Roman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D4FC43" wp14:editId="1CDE50C9">
                <wp:simplePos x="0" y="0"/>
                <wp:positionH relativeFrom="column">
                  <wp:posOffset>-266700</wp:posOffset>
                </wp:positionH>
                <wp:positionV relativeFrom="paragraph">
                  <wp:posOffset>-374124</wp:posOffset>
                </wp:positionV>
                <wp:extent cx="9067800" cy="323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710E26" w:rsidRDefault="00CE7934" w:rsidP="00CD6F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RI vs. US Comparison </w:t>
                            </w:r>
                            <w:r w:rsidRPr="00710E26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DSM-IV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Drug</w:t>
                            </w:r>
                            <w:r w:rsidRPr="00710E26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Abuse or </w:t>
                            </w:r>
                            <w:r w:rsidRPr="00026436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Dependence (%)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by Age Group</w:t>
                            </w:r>
                            <w:r w:rsidRPr="00710E26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; Time-trend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1pt;margin-top:-29.45pt;width:714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" stroked="f">
                <v:textbox>
                  <w:txbxContent>
                    <w:p w:rsidR="00CE7934" w:rsidRPr="00710E26" w:rsidRDefault="00CE7934" w:rsidP="00CD6F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RI vs. US Comparison </w:t>
                      </w:r>
                      <w:r w:rsidRPr="00710E26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DSM-IV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Drug</w:t>
                      </w:r>
                      <w:r w:rsidRPr="00710E26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Abuse or </w:t>
                      </w:r>
                      <w:r w:rsidRPr="00026436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Dependence (%)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by Age Group</w:t>
                      </w:r>
                      <w:r w:rsidRPr="00710E26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; Time-trend</w:t>
                      </w:r>
                    </w:p>
                  </w:txbxContent>
                </v:textbox>
              </v:shape>
            </w:pict>
          </mc:Fallback>
        </mc:AlternateContent>
      </w:r>
    </w:p>
    <w:p w:rsidR="0018755F" w:rsidRPr="0018755F" w:rsidRDefault="0018755F" w:rsidP="0018755F">
      <w:pPr>
        <w:rPr>
          <w:rFonts w:ascii="Cambria" w:eastAsia="Times New Roman" w:hAnsi="Cambria" w:cs="Times New Roman"/>
          <w:sz w:val="28"/>
          <w:szCs w:val="28"/>
        </w:rPr>
      </w:pPr>
    </w:p>
    <w:p w:rsidR="0018755F" w:rsidRPr="0018755F" w:rsidRDefault="0018755F" w:rsidP="0018755F">
      <w:pPr>
        <w:rPr>
          <w:rFonts w:ascii="Cambria" w:eastAsia="Times New Roman" w:hAnsi="Cambria" w:cs="Times New Roman"/>
          <w:sz w:val="28"/>
          <w:szCs w:val="28"/>
        </w:rPr>
      </w:pPr>
    </w:p>
    <w:p w:rsidR="0018755F" w:rsidRPr="0018755F" w:rsidRDefault="00CD6F3D" w:rsidP="00CD6F3D">
      <w:pPr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D5FE83" wp14:editId="6F919990">
            <wp:extent cx="7078718" cy="3326524"/>
            <wp:effectExtent l="0" t="0" r="8255" b="762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MediumShading1-Accent1"/>
        <w:tblpPr w:leftFromText="180" w:rightFromText="180" w:vertAnchor="text" w:horzAnchor="margin" w:tblpXSpec="center" w:tblpY="112"/>
        <w:tblW w:w="14147" w:type="dxa"/>
        <w:tblLook w:val="04A0" w:firstRow="1" w:lastRow="0" w:firstColumn="1" w:lastColumn="0" w:noHBand="0" w:noVBand="1"/>
      </w:tblPr>
      <w:tblGrid>
        <w:gridCol w:w="1188"/>
        <w:gridCol w:w="618"/>
        <w:gridCol w:w="822"/>
        <w:gridCol w:w="810"/>
        <w:gridCol w:w="618"/>
        <w:gridCol w:w="630"/>
        <w:gridCol w:w="810"/>
        <w:gridCol w:w="900"/>
        <w:gridCol w:w="630"/>
        <w:gridCol w:w="630"/>
        <w:gridCol w:w="810"/>
        <w:gridCol w:w="810"/>
        <w:gridCol w:w="630"/>
        <w:gridCol w:w="720"/>
        <w:gridCol w:w="618"/>
        <w:gridCol w:w="834"/>
        <w:gridCol w:w="809"/>
        <w:gridCol w:w="630"/>
        <w:gridCol w:w="630"/>
      </w:tblGrid>
      <w:tr w:rsidR="00C44EC9" w:rsidRPr="00162740" w:rsidTr="00C44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:rsidR="00C44EC9" w:rsidRPr="00162740" w:rsidRDefault="00C44EC9" w:rsidP="00C44EC9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sz w:val="20"/>
                <w:szCs w:val="20"/>
              </w:rPr>
              <w:t>2004-05</w:t>
            </w:r>
          </w:p>
        </w:tc>
        <w:tc>
          <w:tcPr>
            <w:tcW w:w="2970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sz w:val="20"/>
                <w:szCs w:val="20"/>
              </w:rPr>
              <w:t>2007-08</w:t>
            </w:r>
          </w:p>
        </w:tc>
        <w:tc>
          <w:tcPr>
            <w:tcW w:w="3600" w:type="dxa"/>
            <w:gridSpan w:val="5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sz w:val="20"/>
                <w:szCs w:val="20"/>
              </w:rPr>
              <w:t>2011-2012</w:t>
            </w:r>
          </w:p>
        </w:tc>
        <w:tc>
          <w:tcPr>
            <w:tcW w:w="3521" w:type="dxa"/>
            <w:gridSpan w:val="5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sz w:val="20"/>
                <w:szCs w:val="20"/>
              </w:rPr>
              <w:t>2012-2013</w:t>
            </w:r>
          </w:p>
        </w:tc>
      </w:tr>
      <w:tr w:rsidR="00C44EC9" w:rsidRPr="00162740" w:rsidTr="00C4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EC9" w:rsidRPr="00162740" w:rsidRDefault="00C44EC9" w:rsidP="00C44E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18+</w:t>
            </w:r>
          </w:p>
        </w:tc>
      </w:tr>
      <w:tr w:rsidR="00C44EC9" w:rsidRPr="00162740" w:rsidTr="00C44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2.87</w:t>
            </w:r>
          </w:p>
        </w:tc>
      </w:tr>
      <w:tr w:rsidR="00BC4C35" w:rsidRPr="00162740" w:rsidTr="00C4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822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7.74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63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90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63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63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63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2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834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809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63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630" w:type="dxa"/>
            <w:tcBorders>
              <w:top w:val="nil"/>
              <w:left w:val="single" w:sz="8" w:space="0" w:color="7BA0CD" w:themeColor="accent1" w:themeTint="BF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2.31</w:t>
            </w:r>
          </w:p>
        </w:tc>
      </w:tr>
      <w:tr w:rsidR="00C44EC9" w:rsidRPr="00162740" w:rsidTr="00C44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C44EC9" w:rsidRPr="00162740" w:rsidTr="00C4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1.22</w:t>
            </w:r>
          </w:p>
        </w:tc>
        <w:tc>
          <w:tcPr>
            <w:tcW w:w="822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1.28</w:t>
            </w:r>
          </w:p>
        </w:tc>
        <w:tc>
          <w:tcPr>
            <w:tcW w:w="81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1.48</w:t>
            </w:r>
          </w:p>
        </w:tc>
        <w:tc>
          <w:tcPr>
            <w:tcW w:w="618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0.95</w:t>
            </w: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1.56</w:t>
            </w:r>
          </w:p>
        </w:tc>
        <w:tc>
          <w:tcPr>
            <w:tcW w:w="81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1.17</w:t>
            </w:r>
          </w:p>
        </w:tc>
        <w:tc>
          <w:tcPr>
            <w:tcW w:w="90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1.63</w:t>
            </w: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1.59</w:t>
            </w: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1.08</w:t>
            </w:r>
          </w:p>
        </w:tc>
        <w:tc>
          <w:tcPr>
            <w:tcW w:w="81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1.02</w:t>
            </w:r>
          </w:p>
        </w:tc>
        <w:tc>
          <w:tcPr>
            <w:tcW w:w="81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1.00</w:t>
            </w: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1.10</w:t>
            </w:r>
          </w:p>
        </w:tc>
        <w:tc>
          <w:tcPr>
            <w:tcW w:w="72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1.10</w:t>
            </w:r>
          </w:p>
        </w:tc>
        <w:tc>
          <w:tcPr>
            <w:tcW w:w="618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1.24</w:t>
            </w:r>
          </w:p>
        </w:tc>
        <w:tc>
          <w:tcPr>
            <w:tcW w:w="834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1.23</w:t>
            </w:r>
          </w:p>
        </w:tc>
        <w:tc>
          <w:tcPr>
            <w:tcW w:w="809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1.16</w:t>
            </w: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1.25</w:t>
            </w:r>
          </w:p>
        </w:tc>
        <w:tc>
          <w:tcPr>
            <w:tcW w:w="630" w:type="dxa"/>
            <w:noWrap/>
            <w:vAlign w:val="center"/>
            <w:hideMark/>
          </w:tcPr>
          <w:p w:rsidR="00C44EC9" w:rsidRPr="00162740" w:rsidRDefault="00C44EC9" w:rsidP="00C44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62740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1.24</w:t>
            </w:r>
          </w:p>
        </w:tc>
      </w:tr>
    </w:tbl>
    <w:p w:rsidR="00162740" w:rsidRDefault="00C44EC9" w:rsidP="0018755F">
      <w:pPr>
        <w:jc w:val="center"/>
        <w:rPr>
          <w:rFonts w:ascii="Cambria" w:eastAsia="Times New Roman" w:hAnsi="Cambria" w:cs="Times New Roman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2E5EAC" wp14:editId="16F29B3E">
                <wp:simplePos x="0" y="0"/>
                <wp:positionH relativeFrom="column">
                  <wp:posOffset>-455295</wp:posOffset>
                </wp:positionH>
                <wp:positionV relativeFrom="paragraph">
                  <wp:posOffset>1435833</wp:posOffset>
                </wp:positionV>
                <wp:extent cx="6715125" cy="1403985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F713CD" w:rsidRDefault="00CE7934" w:rsidP="00C44EC9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>Ratios greater than 1 indicate those consumption patterns where RI exceeds the US average.</w:t>
                            </w:r>
                          </w:p>
                          <w:p w:rsidR="00CE7934" w:rsidRDefault="00CE7934" w:rsidP="00C44EC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F713CD">
                              <w:rPr>
                                <w:b/>
                                <w:color w:val="00B050"/>
                              </w:rPr>
                              <w:t>Ratios smaller than 1 indicate those consumption patterns where RI is lower than the US average.</w:t>
                            </w:r>
                          </w:p>
                          <w:p w:rsidR="002E6C51" w:rsidRPr="00F713CD" w:rsidRDefault="002E6C51" w:rsidP="00C44EC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National Survey on Drug Use and Health, SAMHSA.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5.85pt;margin-top:113.05pt;width:528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UjJAIAACUEAAAOAAAAZHJzL2Uyb0RvYy54bWysU9uO2yAQfa/Uf0C8N7bTJJtYcVbbbFNV&#10;2l6k3X4AxjhGBYYCiZ1+/Q44m6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" stroked="f">
                <v:textbox style="mso-fit-shape-to-text:t">
                  <w:txbxContent>
                    <w:p w:rsidR="00CE7934" w:rsidRPr="00F713CD" w:rsidRDefault="00CE7934" w:rsidP="00C44EC9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3CD">
                        <w:rPr>
                          <w:b/>
                          <w:color w:val="FF0000"/>
                        </w:rPr>
                        <w:t>Ratios greater than 1 indicate those consumption patterns where RI exceeds the US average.</w:t>
                      </w:r>
                    </w:p>
                    <w:p w:rsidR="00CE7934" w:rsidRDefault="00CE7934" w:rsidP="00C44EC9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F713CD">
                        <w:rPr>
                          <w:b/>
                          <w:color w:val="00B050"/>
                        </w:rPr>
                        <w:t>Ratios smaller than 1 indicate those consumption patterns where RI is lower than the US average.</w:t>
                      </w:r>
                    </w:p>
                    <w:p w:rsidR="002E6C51" w:rsidRPr="00F713CD" w:rsidRDefault="002E6C51" w:rsidP="00C44EC9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2E6C51">
                        <w:rPr>
                          <w:i/>
                        </w:rPr>
                        <w:t>Source: National Survey on Drug Use and Health, SAMHSA.</w:t>
                      </w:r>
                      <w:r>
                        <w:rPr>
                          <w:i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62740">
        <w:rPr>
          <w:rFonts w:ascii="Cambria" w:eastAsia="Times New Roman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402370" wp14:editId="459C6DD5">
                <wp:simplePos x="0" y="0"/>
                <wp:positionH relativeFrom="column">
                  <wp:posOffset>-408403</wp:posOffset>
                </wp:positionH>
                <wp:positionV relativeFrom="paragraph">
                  <wp:posOffset>-318135</wp:posOffset>
                </wp:positionV>
                <wp:extent cx="9171940" cy="35115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9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162740" w:rsidRDefault="00CE79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RI vs. US Comparison </w:t>
                            </w:r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Needing </w:t>
                            </w:r>
                            <w:proofErr w:type="gramStart"/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But</w:t>
                            </w:r>
                            <w:proofErr w:type="gramEnd"/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Not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Receiving Treatment for</w:t>
                            </w:r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Drug Use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(%) by Age Group; Time-trend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2.15pt;margin-top:-25.05pt;width:722.2pt;height:2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" stroked="f">
                <v:textbox>
                  <w:txbxContent>
                    <w:p w:rsidR="00CE7934" w:rsidRPr="00162740" w:rsidRDefault="00CE79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RI vs. US Comparison </w:t>
                      </w:r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Needing </w:t>
                      </w:r>
                      <w:proofErr w:type="gramStart"/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But</w:t>
                      </w:r>
                      <w:proofErr w:type="gramEnd"/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Not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Receiving Treatment for</w:t>
                      </w:r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Drug Use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(%) by Age Group; Time-trend</w:t>
                      </w:r>
                    </w:p>
                  </w:txbxContent>
                </v:textbox>
              </v:shape>
            </w:pict>
          </mc:Fallback>
        </mc:AlternateContent>
      </w:r>
      <w:r w:rsidRPr="00162740">
        <w:rPr>
          <w:rFonts w:ascii="Cambria" w:eastAsia="Times New Roman" w:hAnsi="Cambria" w:cs="Times New Roman"/>
          <w:noProof/>
          <w:sz w:val="28"/>
          <w:szCs w:val="28"/>
        </w:rPr>
        <w:t xml:space="preserve"> </w:t>
      </w:r>
    </w:p>
    <w:p w:rsidR="00162740" w:rsidRDefault="00C44EC9">
      <w:pPr>
        <w:rPr>
          <w:rFonts w:ascii="Cambria" w:eastAsia="Times New Roman" w:hAnsi="Cambria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1102C0EE" wp14:editId="31B02176">
            <wp:simplePos x="0" y="0"/>
            <wp:positionH relativeFrom="column">
              <wp:posOffset>393700</wp:posOffset>
            </wp:positionH>
            <wp:positionV relativeFrom="paragraph">
              <wp:posOffset>266065</wp:posOffset>
            </wp:positionV>
            <wp:extent cx="7793355" cy="4191635"/>
            <wp:effectExtent l="0" t="0" r="0" b="0"/>
            <wp:wrapThrough wrapText="bothSides">
              <wp:wrapPolygon edited="0">
                <wp:start x="2270" y="589"/>
                <wp:lineTo x="898" y="2160"/>
                <wp:lineTo x="317" y="3927"/>
                <wp:lineTo x="422" y="18554"/>
                <wp:lineTo x="2640" y="19633"/>
                <wp:lineTo x="1109" y="19633"/>
                <wp:lineTo x="1109" y="20517"/>
                <wp:lineTo x="3538" y="21204"/>
                <wp:lineTo x="3538" y="21499"/>
                <wp:lineTo x="21542" y="21499"/>
                <wp:lineTo x="21542" y="15118"/>
                <wp:lineTo x="21436" y="11976"/>
                <wp:lineTo x="20697" y="11878"/>
                <wp:lineTo x="10771" y="11780"/>
                <wp:lineTo x="21331" y="11191"/>
                <wp:lineTo x="21278" y="10700"/>
                <wp:lineTo x="792" y="10209"/>
                <wp:lineTo x="21278" y="10013"/>
                <wp:lineTo x="21067" y="8639"/>
                <wp:lineTo x="21172" y="7264"/>
                <wp:lineTo x="20433" y="7166"/>
                <wp:lineTo x="845" y="7068"/>
                <wp:lineTo x="845" y="5497"/>
                <wp:lineTo x="1373" y="5105"/>
                <wp:lineTo x="1373" y="4712"/>
                <wp:lineTo x="950" y="3927"/>
                <wp:lineTo x="1426" y="2356"/>
                <wp:lineTo x="19008" y="1571"/>
                <wp:lineTo x="19324" y="884"/>
                <wp:lineTo x="18268" y="589"/>
                <wp:lineTo x="2270" y="589"/>
              </wp:wrapPolygon>
            </wp:wrapThrough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162740">
        <w:rPr>
          <w:rFonts w:ascii="Cambria" w:eastAsia="Times New Roman" w:hAnsi="Cambria" w:cs="Times New Roman"/>
          <w:sz w:val="28"/>
          <w:szCs w:val="28"/>
        </w:rPr>
        <w:br w:type="page"/>
      </w:r>
    </w:p>
    <w:tbl>
      <w:tblPr>
        <w:tblStyle w:val="MediumShading1-Accent1"/>
        <w:tblpPr w:leftFromText="180" w:rightFromText="180" w:vertAnchor="page" w:horzAnchor="page" w:tblpXSpec="center" w:tblpY="1596"/>
        <w:tblW w:w="14034" w:type="dxa"/>
        <w:tblLook w:val="04A0" w:firstRow="1" w:lastRow="0" w:firstColumn="1" w:lastColumn="0" w:noHBand="0" w:noVBand="1"/>
      </w:tblPr>
      <w:tblGrid>
        <w:gridCol w:w="1278"/>
        <w:gridCol w:w="618"/>
        <w:gridCol w:w="822"/>
        <w:gridCol w:w="810"/>
        <w:gridCol w:w="618"/>
        <w:gridCol w:w="618"/>
        <w:gridCol w:w="834"/>
        <w:gridCol w:w="810"/>
        <w:gridCol w:w="618"/>
        <w:gridCol w:w="618"/>
        <w:gridCol w:w="834"/>
        <w:gridCol w:w="810"/>
        <w:gridCol w:w="630"/>
        <w:gridCol w:w="618"/>
        <w:gridCol w:w="618"/>
        <w:gridCol w:w="834"/>
        <w:gridCol w:w="810"/>
        <w:gridCol w:w="618"/>
        <w:gridCol w:w="618"/>
      </w:tblGrid>
      <w:tr w:rsidR="009761D5" w:rsidRPr="009761D5" w:rsidTr="00976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sz w:val="20"/>
                <w:szCs w:val="20"/>
              </w:rPr>
              <w:t>2004-05</w:t>
            </w:r>
          </w:p>
        </w:tc>
        <w:tc>
          <w:tcPr>
            <w:tcW w:w="2880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sz w:val="20"/>
                <w:szCs w:val="20"/>
              </w:rPr>
              <w:t>2007-08</w:t>
            </w:r>
          </w:p>
        </w:tc>
        <w:tc>
          <w:tcPr>
            <w:tcW w:w="3510" w:type="dxa"/>
            <w:gridSpan w:val="5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sz w:val="20"/>
                <w:szCs w:val="20"/>
              </w:rPr>
              <w:t>2011-2012</w:t>
            </w:r>
          </w:p>
        </w:tc>
        <w:tc>
          <w:tcPr>
            <w:tcW w:w="3498" w:type="dxa"/>
            <w:gridSpan w:val="5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sz w:val="20"/>
                <w:szCs w:val="20"/>
              </w:rPr>
              <w:t>2012-2013</w:t>
            </w:r>
          </w:p>
        </w:tc>
      </w:tr>
      <w:tr w:rsidR="009761D5" w:rsidRPr="0026128E" w:rsidTr="0097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18+</w:t>
            </w:r>
          </w:p>
        </w:tc>
      </w:tr>
      <w:tr w:rsidR="009761D5" w:rsidRPr="0026128E" w:rsidTr="009761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8.36</w:t>
            </w:r>
          </w:p>
        </w:tc>
      </w:tr>
      <w:tr w:rsidR="00BC4C35" w:rsidRPr="0026128E" w:rsidTr="0097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822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810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16.92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34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810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16.52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834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810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630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834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10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6.76</w:t>
            </w:r>
          </w:p>
        </w:tc>
      </w:tr>
      <w:tr w:rsidR="009761D5" w:rsidRPr="0026128E" w:rsidTr="009761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7BA0CD" w:themeColor="accent1" w:themeTint="BF"/>
              <w:lef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7BA0CD" w:themeColor="accent1" w:themeTint="BF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1D5" w:rsidRPr="0026128E" w:rsidTr="0097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1.06</w:t>
            </w:r>
          </w:p>
        </w:tc>
        <w:tc>
          <w:tcPr>
            <w:tcW w:w="822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1.05</w:t>
            </w:r>
          </w:p>
        </w:tc>
        <w:tc>
          <w:tcPr>
            <w:tcW w:w="810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1.13</w:t>
            </w:r>
          </w:p>
        </w:tc>
        <w:tc>
          <w:tcPr>
            <w:tcW w:w="618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1.01</w:t>
            </w:r>
          </w:p>
        </w:tc>
        <w:tc>
          <w:tcPr>
            <w:tcW w:w="618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1.07</w:t>
            </w:r>
          </w:p>
        </w:tc>
        <w:tc>
          <w:tcPr>
            <w:tcW w:w="834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1.06</w:t>
            </w:r>
          </w:p>
        </w:tc>
        <w:tc>
          <w:tcPr>
            <w:tcW w:w="810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1.08</w:t>
            </w:r>
          </w:p>
        </w:tc>
        <w:tc>
          <w:tcPr>
            <w:tcW w:w="618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1.03</w:t>
            </w:r>
          </w:p>
        </w:tc>
        <w:tc>
          <w:tcPr>
            <w:tcW w:w="618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1.31</w:t>
            </w:r>
          </w:p>
        </w:tc>
        <w:tc>
          <w:tcPr>
            <w:tcW w:w="834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1.08</w:t>
            </w:r>
          </w:p>
        </w:tc>
        <w:tc>
          <w:tcPr>
            <w:tcW w:w="810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1.35</w:t>
            </w:r>
          </w:p>
        </w:tc>
        <w:tc>
          <w:tcPr>
            <w:tcW w:w="630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1.27</w:t>
            </w:r>
          </w:p>
        </w:tc>
        <w:tc>
          <w:tcPr>
            <w:tcW w:w="618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1.32</w:t>
            </w:r>
          </w:p>
        </w:tc>
        <w:tc>
          <w:tcPr>
            <w:tcW w:w="618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1.24</w:t>
            </w:r>
          </w:p>
        </w:tc>
        <w:tc>
          <w:tcPr>
            <w:tcW w:w="834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1.05</w:t>
            </w:r>
          </w:p>
        </w:tc>
        <w:tc>
          <w:tcPr>
            <w:tcW w:w="810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1.28</w:t>
            </w:r>
          </w:p>
        </w:tc>
        <w:tc>
          <w:tcPr>
            <w:tcW w:w="618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1.19</w:t>
            </w:r>
          </w:p>
        </w:tc>
        <w:tc>
          <w:tcPr>
            <w:tcW w:w="618" w:type="dxa"/>
            <w:noWrap/>
            <w:vAlign w:val="center"/>
            <w:hideMark/>
          </w:tcPr>
          <w:p w:rsidR="009761D5" w:rsidRPr="0026128E" w:rsidRDefault="009761D5" w:rsidP="0097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26128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1.24</w:t>
            </w:r>
          </w:p>
        </w:tc>
      </w:tr>
    </w:tbl>
    <w:p w:rsidR="0018755F" w:rsidRPr="0018755F" w:rsidRDefault="009761D5" w:rsidP="0018755F">
      <w:pPr>
        <w:jc w:val="center"/>
        <w:rPr>
          <w:rFonts w:ascii="Cambria" w:eastAsia="Times New Roman" w:hAnsi="Cambria" w:cs="Times New Roman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668FC" wp14:editId="0F9666F6">
                <wp:simplePos x="0" y="0"/>
                <wp:positionH relativeFrom="column">
                  <wp:posOffset>-344903</wp:posOffset>
                </wp:positionH>
                <wp:positionV relativeFrom="paragraph">
                  <wp:posOffset>1468755</wp:posOffset>
                </wp:positionV>
                <wp:extent cx="6715125" cy="1403985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F713CD" w:rsidRDefault="00CE7934" w:rsidP="009761D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>Ratios greater than 1 indicate those consumption patterns where RI exceeds the US average.</w:t>
                            </w:r>
                          </w:p>
                          <w:p w:rsidR="00CE7934" w:rsidRDefault="00CE7934" w:rsidP="009761D5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F713CD">
                              <w:rPr>
                                <w:b/>
                                <w:color w:val="00B050"/>
                              </w:rPr>
                              <w:t>Ratios smaller than 1 indicate those consumption patterns where RI is lower than the US average.</w:t>
                            </w:r>
                          </w:p>
                          <w:p w:rsidR="002E6C51" w:rsidRPr="00F713CD" w:rsidRDefault="002E6C51" w:rsidP="009761D5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National Survey on Drug Use and Health, SAMHSA.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7.15pt;margin-top:115.65pt;width:528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" stroked="f">
                <v:textbox style="mso-fit-shape-to-text:t">
                  <w:txbxContent>
                    <w:p w:rsidR="00CE7934" w:rsidRPr="00F713CD" w:rsidRDefault="00CE7934" w:rsidP="009761D5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3CD">
                        <w:rPr>
                          <w:b/>
                          <w:color w:val="FF0000"/>
                        </w:rPr>
                        <w:t>Ratios greater than 1 indicate those consumption patterns where RI exceeds the US average.</w:t>
                      </w:r>
                    </w:p>
                    <w:p w:rsidR="00CE7934" w:rsidRDefault="00CE7934" w:rsidP="009761D5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F713CD">
                        <w:rPr>
                          <w:b/>
                          <w:color w:val="00B050"/>
                        </w:rPr>
                        <w:t>Ratios smaller than 1 indicate those consumption patterns where RI is lower than the US average.</w:t>
                      </w:r>
                    </w:p>
                    <w:p w:rsidR="002E6C51" w:rsidRPr="00F713CD" w:rsidRDefault="002E6C51" w:rsidP="009761D5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2E6C51">
                        <w:rPr>
                          <w:i/>
                        </w:rPr>
                        <w:t>Source: National Survey on Drug Use and Health, SAMHSA.</w:t>
                      </w:r>
                      <w:r>
                        <w:rPr>
                          <w:i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128E" w:rsidRPr="00162740">
        <w:rPr>
          <w:rFonts w:ascii="Cambria" w:eastAsia="Times New Roman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41A86" wp14:editId="16DA48C5">
                <wp:simplePos x="0" y="0"/>
                <wp:positionH relativeFrom="column">
                  <wp:posOffset>-339823</wp:posOffset>
                </wp:positionH>
                <wp:positionV relativeFrom="paragraph">
                  <wp:posOffset>-288925</wp:posOffset>
                </wp:positionV>
                <wp:extent cx="9171940" cy="35115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9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162740" w:rsidRDefault="00CE7934" w:rsidP="00261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RI vs. US Comparison </w:t>
                            </w:r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Needing </w:t>
                            </w:r>
                            <w:proofErr w:type="gramStart"/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But</w:t>
                            </w:r>
                            <w:proofErr w:type="gramEnd"/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Not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Receiving Treatment for Alcohol</w:t>
                            </w:r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Use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(%) by Age Group; Time-trend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6.75pt;margin-top:-22.75pt;width:722.2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" stroked="f">
                <v:textbox>
                  <w:txbxContent>
                    <w:p w:rsidR="00CE7934" w:rsidRPr="00162740" w:rsidRDefault="00CE7934" w:rsidP="00261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RI vs. US Comparison </w:t>
                      </w:r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Needing </w:t>
                      </w:r>
                      <w:proofErr w:type="gramStart"/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But</w:t>
                      </w:r>
                      <w:proofErr w:type="gramEnd"/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Not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Receiving Treatment for Alcohol</w:t>
                      </w:r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Use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(%) by Age Group; Time-trend</w:t>
                      </w:r>
                    </w:p>
                  </w:txbxContent>
                </v:textbox>
              </v:shape>
            </w:pict>
          </mc:Fallback>
        </mc:AlternateContent>
      </w:r>
    </w:p>
    <w:p w:rsidR="0018755F" w:rsidRPr="0018755F" w:rsidRDefault="0018755F" w:rsidP="0018755F">
      <w:pPr>
        <w:rPr>
          <w:rFonts w:ascii="Cambria" w:eastAsia="Times New Roman" w:hAnsi="Cambria" w:cs="Times New Roman"/>
          <w:sz w:val="28"/>
          <w:szCs w:val="28"/>
        </w:rPr>
      </w:pPr>
    </w:p>
    <w:p w:rsidR="001555C5" w:rsidRDefault="009761D5" w:rsidP="009761D5">
      <w:pPr>
        <w:rPr>
          <w:rFonts w:ascii="Cambria" w:eastAsia="Times New Roman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EFC4CC" wp14:editId="7C5D8618">
            <wp:extent cx="8145194" cy="3713870"/>
            <wp:effectExtent l="0" t="0" r="8255" b="127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MediumShading1-Accent1"/>
        <w:tblpPr w:leftFromText="180" w:rightFromText="180" w:vertAnchor="text" w:horzAnchor="margin" w:tblpY="398"/>
        <w:tblW w:w="13290" w:type="dxa"/>
        <w:tblLook w:val="04A0" w:firstRow="1" w:lastRow="0" w:firstColumn="1" w:lastColumn="0" w:noHBand="0" w:noVBand="1"/>
      </w:tblPr>
      <w:tblGrid>
        <w:gridCol w:w="1214"/>
        <w:gridCol w:w="737"/>
        <w:gridCol w:w="844"/>
        <w:gridCol w:w="775"/>
        <w:gridCol w:w="685"/>
        <w:gridCol w:w="737"/>
        <w:gridCol w:w="770"/>
        <w:gridCol w:w="775"/>
        <w:gridCol w:w="618"/>
        <w:gridCol w:w="737"/>
        <w:gridCol w:w="770"/>
        <w:gridCol w:w="775"/>
        <w:gridCol w:w="737"/>
        <w:gridCol w:w="737"/>
        <w:gridCol w:w="827"/>
        <w:gridCol w:w="775"/>
        <w:gridCol w:w="777"/>
      </w:tblGrid>
      <w:tr w:rsidR="00757537" w:rsidRPr="00757537" w:rsidTr="00757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sz w:val="20"/>
                <w:szCs w:val="20"/>
              </w:rPr>
              <w:t>2004-05</w:t>
            </w:r>
          </w:p>
        </w:tc>
        <w:tc>
          <w:tcPr>
            <w:tcW w:w="2900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sz w:val="20"/>
                <w:szCs w:val="20"/>
              </w:rPr>
              <w:t>2007-08</w:t>
            </w:r>
          </w:p>
        </w:tc>
        <w:tc>
          <w:tcPr>
            <w:tcW w:w="3019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sz w:val="20"/>
                <w:szCs w:val="20"/>
              </w:rPr>
              <w:t>2011-2012</w:t>
            </w:r>
          </w:p>
        </w:tc>
        <w:tc>
          <w:tcPr>
            <w:tcW w:w="3116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sz w:val="20"/>
                <w:szCs w:val="20"/>
              </w:rPr>
              <w:t>2012-2013</w:t>
            </w:r>
          </w:p>
        </w:tc>
      </w:tr>
      <w:tr w:rsidR="00757537" w:rsidRPr="00757537" w:rsidTr="0075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</w:tr>
      <w:tr w:rsidR="00757537" w:rsidRPr="00757537" w:rsidTr="00757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29.69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33.24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15.61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32.88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31.77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12.75</w:t>
            </w:r>
          </w:p>
        </w:tc>
      </w:tr>
      <w:tr w:rsidR="00757537" w:rsidRPr="00757537" w:rsidTr="0075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844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775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19.76</w:t>
            </w:r>
          </w:p>
        </w:tc>
        <w:tc>
          <w:tcPr>
            <w:tcW w:w="685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770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775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19.74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770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9.82</w:t>
            </w:r>
          </w:p>
        </w:tc>
        <w:tc>
          <w:tcPr>
            <w:tcW w:w="775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21.39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82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775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777" w:type="dxa"/>
            <w:tcBorders>
              <w:top w:val="nil"/>
              <w:lef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7.19</w:t>
            </w:r>
          </w:p>
        </w:tc>
      </w:tr>
      <w:tr w:rsidR="00757537" w:rsidRPr="00757537" w:rsidTr="00757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7537" w:rsidRPr="00757537" w:rsidTr="0075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1.33</w:t>
            </w:r>
          </w:p>
        </w:tc>
        <w:tc>
          <w:tcPr>
            <w:tcW w:w="844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1.30</w:t>
            </w:r>
          </w:p>
        </w:tc>
        <w:tc>
          <w:tcPr>
            <w:tcW w:w="775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1.50</w:t>
            </w:r>
          </w:p>
        </w:tc>
        <w:tc>
          <w:tcPr>
            <w:tcW w:w="685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1.22</w:t>
            </w:r>
          </w:p>
        </w:tc>
        <w:tc>
          <w:tcPr>
            <w:tcW w:w="73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1.66</w:t>
            </w:r>
          </w:p>
        </w:tc>
        <w:tc>
          <w:tcPr>
            <w:tcW w:w="770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1.32</w:t>
            </w:r>
          </w:p>
        </w:tc>
        <w:tc>
          <w:tcPr>
            <w:tcW w:w="775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1.68</w:t>
            </w:r>
          </w:p>
        </w:tc>
        <w:tc>
          <w:tcPr>
            <w:tcW w:w="618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1.67</w:t>
            </w:r>
          </w:p>
        </w:tc>
        <w:tc>
          <w:tcPr>
            <w:tcW w:w="73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1.74</w:t>
            </w:r>
          </w:p>
        </w:tc>
        <w:tc>
          <w:tcPr>
            <w:tcW w:w="770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1.54</w:t>
            </w:r>
          </w:p>
        </w:tc>
        <w:tc>
          <w:tcPr>
            <w:tcW w:w="775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1.54</w:t>
            </w:r>
          </w:p>
        </w:tc>
        <w:tc>
          <w:tcPr>
            <w:tcW w:w="73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1.84</w:t>
            </w:r>
          </w:p>
        </w:tc>
        <w:tc>
          <w:tcPr>
            <w:tcW w:w="73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1.70</w:t>
            </w:r>
          </w:p>
        </w:tc>
        <w:tc>
          <w:tcPr>
            <w:tcW w:w="82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1.65</w:t>
            </w:r>
          </w:p>
        </w:tc>
        <w:tc>
          <w:tcPr>
            <w:tcW w:w="775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1.48</w:t>
            </w:r>
          </w:p>
        </w:tc>
        <w:tc>
          <w:tcPr>
            <w:tcW w:w="777" w:type="dxa"/>
            <w:noWrap/>
            <w:vAlign w:val="center"/>
            <w:hideMark/>
          </w:tcPr>
          <w:p w:rsidR="00757537" w:rsidRPr="00757537" w:rsidRDefault="00757537" w:rsidP="00757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75753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1.77</w:t>
            </w:r>
          </w:p>
        </w:tc>
      </w:tr>
    </w:tbl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C76A4E" wp14:editId="1D45FF5D">
                <wp:simplePos x="0" y="0"/>
                <wp:positionH relativeFrom="column">
                  <wp:posOffset>-82024</wp:posOffset>
                </wp:positionH>
                <wp:positionV relativeFrom="paragraph">
                  <wp:posOffset>1621155</wp:posOffset>
                </wp:positionV>
                <wp:extent cx="6715125" cy="1403985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F713CD" w:rsidRDefault="00CE7934" w:rsidP="0075753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>Ratios greater than 1 indicate those consumption patterns where RI exceeds the US average.</w:t>
                            </w:r>
                          </w:p>
                          <w:p w:rsidR="00CE7934" w:rsidRDefault="00CE7934" w:rsidP="00757537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F713CD">
                              <w:rPr>
                                <w:b/>
                                <w:color w:val="00B050"/>
                              </w:rPr>
                              <w:t>Ratios smaller than 1 indicate those consumption patterns where RI is lower than the US average.</w:t>
                            </w:r>
                          </w:p>
                          <w:p w:rsidR="002E6C51" w:rsidRDefault="002E6C51" w:rsidP="00757537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2E6C51" w:rsidRPr="002E6C51" w:rsidRDefault="002E6C51" w:rsidP="002E6C5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National Survey on Drug Use and Health, SAMHSA.</w:t>
                            </w:r>
                          </w:p>
                          <w:p w:rsidR="002E6C51" w:rsidRPr="00F713CD" w:rsidRDefault="002E6C51" w:rsidP="00757537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6.45pt;margin-top:127.65pt;width:528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1mJAIAACU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" stroked="f">
                <v:textbox style="mso-fit-shape-to-text:t">
                  <w:txbxContent>
                    <w:p w:rsidR="00CE7934" w:rsidRPr="00F713CD" w:rsidRDefault="00CE7934" w:rsidP="00757537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3CD">
                        <w:rPr>
                          <w:b/>
                          <w:color w:val="FF0000"/>
                        </w:rPr>
                        <w:t>Ratios greater than 1 indicate those consumption patterns where RI exceeds the US average.</w:t>
                      </w:r>
                    </w:p>
                    <w:p w:rsidR="00CE7934" w:rsidRDefault="00CE7934" w:rsidP="00757537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F713CD">
                        <w:rPr>
                          <w:b/>
                          <w:color w:val="00B050"/>
                        </w:rPr>
                        <w:t>Ratios smaller than 1 indicate those consumption patterns where RI is lower than the US average.</w:t>
                      </w:r>
                    </w:p>
                    <w:p w:rsidR="002E6C51" w:rsidRDefault="002E6C51" w:rsidP="00757537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  <w:p w:rsidR="002E6C51" w:rsidRPr="002E6C51" w:rsidRDefault="002E6C51" w:rsidP="002E6C5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National Survey on Drug Use and Health, SAMHSA.</w:t>
                      </w:r>
                    </w:p>
                    <w:p w:rsidR="002E6C51" w:rsidRPr="00F713CD" w:rsidRDefault="002E6C51" w:rsidP="00757537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2740">
        <w:rPr>
          <w:rFonts w:ascii="Cambria" w:eastAsia="Times New Roman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DF399A" wp14:editId="13B1A303">
                <wp:simplePos x="0" y="0"/>
                <wp:positionH relativeFrom="column">
                  <wp:posOffset>-75456</wp:posOffset>
                </wp:positionH>
                <wp:positionV relativeFrom="paragraph">
                  <wp:posOffset>-139700</wp:posOffset>
                </wp:positionV>
                <wp:extent cx="9171940" cy="3511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9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162740" w:rsidRDefault="00CE7934" w:rsidP="007575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RI vs. US Comparison Any Illicit Drug Use Past Month</w:t>
                            </w:r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(%) by Age Group; Time-trend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.95pt;margin-top:-11pt;width:722.2pt;height: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" stroked="f">
                <v:textbox>
                  <w:txbxContent>
                    <w:p w:rsidR="00CE7934" w:rsidRPr="00162740" w:rsidRDefault="00CE7934" w:rsidP="007575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RI vs. US Comparison Any Illicit Drug Use Past Month</w:t>
                      </w:r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(%) by Age Group; Time-trend</w:t>
                      </w:r>
                    </w:p>
                  </w:txbxContent>
                </v:textbox>
              </v:shape>
            </w:pict>
          </mc:Fallback>
        </mc:AlternateContent>
      </w: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tbl>
      <w:tblPr>
        <w:tblStyle w:val="MediumShading1-Accent1"/>
        <w:tblW w:w="13295" w:type="dxa"/>
        <w:tblLook w:val="04A0" w:firstRow="1" w:lastRow="0" w:firstColumn="1" w:lastColumn="0" w:noHBand="0" w:noVBand="1"/>
      </w:tblPr>
      <w:tblGrid>
        <w:gridCol w:w="1220"/>
        <w:gridCol w:w="618"/>
        <w:gridCol w:w="792"/>
        <w:gridCol w:w="779"/>
        <w:gridCol w:w="618"/>
        <w:gridCol w:w="737"/>
        <w:gridCol w:w="850"/>
        <w:gridCol w:w="779"/>
        <w:gridCol w:w="618"/>
        <w:gridCol w:w="737"/>
        <w:gridCol w:w="817"/>
        <w:gridCol w:w="864"/>
        <w:gridCol w:w="618"/>
        <w:gridCol w:w="757"/>
        <w:gridCol w:w="823"/>
        <w:gridCol w:w="931"/>
        <w:gridCol w:w="737"/>
      </w:tblGrid>
      <w:tr w:rsidR="00557DCC" w:rsidRPr="00557DCC" w:rsidTr="008A2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F5BB34" wp14:editId="781B73BB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-517525</wp:posOffset>
                      </wp:positionV>
                      <wp:extent cx="9171940" cy="35115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194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934" w:rsidRPr="00162740" w:rsidRDefault="00CE7934" w:rsidP="0075753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RI vs. US Comparison Marijuana Use Past Month</w:t>
                                  </w:r>
                                  <w:r w:rsidRPr="00162740"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(%) by Age Group; Time-trend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8.35pt;margin-top:-40.75pt;width:722.2pt;height:2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6qIw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" stroked="f">
                      <v:textbox>
                        <w:txbxContent>
                          <w:p w:rsidR="00CE7934" w:rsidRPr="00162740" w:rsidRDefault="00CE7934" w:rsidP="007575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RI vs. US Comparison Marijuana Use Past Month</w:t>
                            </w:r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(%) by Age Group; Time-trend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7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sz w:val="20"/>
                <w:szCs w:val="20"/>
              </w:rPr>
              <w:t>2004-05</w:t>
            </w:r>
          </w:p>
        </w:tc>
        <w:tc>
          <w:tcPr>
            <w:tcW w:w="2984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sz w:val="20"/>
                <w:szCs w:val="20"/>
              </w:rPr>
              <w:t>2007-08</w:t>
            </w:r>
          </w:p>
        </w:tc>
        <w:tc>
          <w:tcPr>
            <w:tcW w:w="3036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2011-2012</w:t>
            </w:r>
          </w:p>
        </w:tc>
        <w:tc>
          <w:tcPr>
            <w:tcW w:w="3248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Cs w:val="0"/>
                <w:sz w:val="20"/>
                <w:szCs w:val="20"/>
              </w:rPr>
              <w:t>2012-2013</w:t>
            </w:r>
          </w:p>
        </w:tc>
      </w:tr>
      <w:tr w:rsidR="00557DCC" w:rsidRPr="00757537" w:rsidTr="008A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</w:tr>
      <w:tr w:rsidR="00757537" w:rsidRPr="00757537" w:rsidTr="008A2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RI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26.46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30.38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30.16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29.79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7BA0CD" w:themeColor="accent1" w:themeTint="BF"/>
              <w:bottom w:val="nil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11.18</w:t>
            </w:r>
          </w:p>
        </w:tc>
      </w:tr>
      <w:tr w:rsidR="00557DCC" w:rsidRPr="00757537" w:rsidTr="008A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US</w:t>
            </w:r>
          </w:p>
        </w:tc>
        <w:tc>
          <w:tcPr>
            <w:tcW w:w="618" w:type="dxa"/>
            <w:tcBorders>
              <w:top w:val="nil"/>
              <w:left w:val="single" w:sz="18" w:space="0" w:color="auto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792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779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850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779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16.52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81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864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18.89</w:t>
            </w:r>
          </w:p>
        </w:tc>
        <w:tc>
          <w:tcPr>
            <w:tcW w:w="618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75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823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931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5.45</w:t>
            </w:r>
          </w:p>
        </w:tc>
      </w:tr>
      <w:tr w:rsidR="00757537" w:rsidRPr="00757537" w:rsidTr="008A2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7DCC" w:rsidRPr="00757537" w:rsidTr="008A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61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1.48</w:t>
            </w:r>
          </w:p>
        </w:tc>
        <w:tc>
          <w:tcPr>
            <w:tcW w:w="792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1.50</w:t>
            </w:r>
          </w:p>
        </w:tc>
        <w:tc>
          <w:tcPr>
            <w:tcW w:w="779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1.62</w:t>
            </w:r>
          </w:p>
        </w:tc>
        <w:tc>
          <w:tcPr>
            <w:tcW w:w="618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1.35</w:t>
            </w:r>
          </w:p>
        </w:tc>
        <w:tc>
          <w:tcPr>
            <w:tcW w:w="737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1.82</w:t>
            </w:r>
          </w:p>
        </w:tc>
        <w:tc>
          <w:tcPr>
            <w:tcW w:w="850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1.40</w:t>
            </w:r>
          </w:p>
        </w:tc>
        <w:tc>
          <w:tcPr>
            <w:tcW w:w="779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1.84</w:t>
            </w:r>
          </w:p>
        </w:tc>
        <w:tc>
          <w:tcPr>
            <w:tcW w:w="618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1.83</w:t>
            </w:r>
          </w:p>
        </w:tc>
        <w:tc>
          <w:tcPr>
            <w:tcW w:w="737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1.82</w:t>
            </w:r>
          </w:p>
        </w:tc>
        <w:tc>
          <w:tcPr>
            <w:tcW w:w="817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1.65</w:t>
            </w:r>
          </w:p>
        </w:tc>
        <w:tc>
          <w:tcPr>
            <w:tcW w:w="864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1.60</w:t>
            </w:r>
          </w:p>
        </w:tc>
        <w:tc>
          <w:tcPr>
            <w:tcW w:w="618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1.93</w:t>
            </w:r>
          </w:p>
        </w:tc>
        <w:tc>
          <w:tcPr>
            <w:tcW w:w="757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1.90</w:t>
            </w:r>
          </w:p>
        </w:tc>
        <w:tc>
          <w:tcPr>
            <w:tcW w:w="823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1.81</w:t>
            </w:r>
          </w:p>
        </w:tc>
        <w:tc>
          <w:tcPr>
            <w:tcW w:w="931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1.58</w:t>
            </w:r>
          </w:p>
        </w:tc>
        <w:tc>
          <w:tcPr>
            <w:tcW w:w="737" w:type="dxa"/>
            <w:noWrap/>
            <w:vAlign w:val="center"/>
            <w:hideMark/>
          </w:tcPr>
          <w:p w:rsidR="00757537" w:rsidRPr="00557DCC" w:rsidRDefault="00757537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2.05</w:t>
            </w:r>
          </w:p>
        </w:tc>
      </w:tr>
    </w:tbl>
    <w:p w:rsidR="00757537" w:rsidRDefault="00557DCC" w:rsidP="009761D5">
      <w:pPr>
        <w:rPr>
          <w:rFonts w:ascii="Cambria" w:eastAsia="Times New Roman" w:hAnsi="Cambria" w:cs="Times New Roman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FD024" wp14:editId="2430AD34">
                <wp:simplePos x="0" y="0"/>
                <wp:positionH relativeFrom="column">
                  <wp:posOffset>-69741</wp:posOffset>
                </wp:positionH>
                <wp:positionV relativeFrom="paragraph">
                  <wp:posOffset>40640</wp:posOffset>
                </wp:positionV>
                <wp:extent cx="6715125" cy="1403985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F713CD" w:rsidRDefault="00CE7934" w:rsidP="00557DCC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>Ratios greater than 1 indicate those consumption patterns where RI exceeds the US average.</w:t>
                            </w:r>
                          </w:p>
                          <w:p w:rsidR="00CE7934" w:rsidRDefault="00CE7934" w:rsidP="00557DC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F713CD">
                              <w:rPr>
                                <w:b/>
                                <w:color w:val="00B050"/>
                              </w:rPr>
                              <w:t>Ratios smaller than 1 indicate those consumption patterns where RI is lower than the US average.</w:t>
                            </w:r>
                          </w:p>
                          <w:p w:rsidR="002E6C51" w:rsidRDefault="002E6C51" w:rsidP="00557DC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2E6C51" w:rsidRPr="002E6C51" w:rsidRDefault="002E6C51" w:rsidP="002E6C5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National Survey on Drug Use and Health, SAMHSA.</w:t>
                            </w:r>
                          </w:p>
                          <w:p w:rsidR="002E6C51" w:rsidRPr="00F713CD" w:rsidRDefault="002E6C51" w:rsidP="00557DC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5.5pt;margin-top:3.2pt;width:528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yIJQIAACU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" stroked="f">
                <v:textbox style="mso-fit-shape-to-text:t">
                  <w:txbxContent>
                    <w:p w:rsidR="00CE7934" w:rsidRPr="00F713CD" w:rsidRDefault="00CE7934" w:rsidP="00557DCC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3CD">
                        <w:rPr>
                          <w:b/>
                          <w:color w:val="FF0000"/>
                        </w:rPr>
                        <w:t>Ratios greater than 1 indicate those consumption patterns where RI exceeds the US average.</w:t>
                      </w:r>
                    </w:p>
                    <w:p w:rsidR="00CE7934" w:rsidRDefault="00CE7934" w:rsidP="00557DCC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F713CD">
                        <w:rPr>
                          <w:b/>
                          <w:color w:val="00B050"/>
                        </w:rPr>
                        <w:t>Ratios smaller than 1 indicate those consumption patterns where RI is lower than the US average.</w:t>
                      </w:r>
                    </w:p>
                    <w:p w:rsidR="002E6C51" w:rsidRDefault="002E6C51" w:rsidP="00557DCC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  <w:p w:rsidR="002E6C51" w:rsidRPr="002E6C51" w:rsidRDefault="002E6C51" w:rsidP="002E6C5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National Survey on Drug Use and Health, SAMHSA.</w:t>
                      </w:r>
                    </w:p>
                    <w:p w:rsidR="002E6C51" w:rsidRPr="00F713CD" w:rsidRDefault="002E6C51" w:rsidP="00557DCC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557DCC" w:rsidRDefault="00557DCC" w:rsidP="009761D5">
      <w:pPr>
        <w:rPr>
          <w:rFonts w:ascii="Cambria" w:eastAsia="Times New Roman" w:hAnsi="Cambria" w:cs="Times New Roman"/>
          <w:sz w:val="28"/>
          <w:szCs w:val="28"/>
        </w:rPr>
      </w:pPr>
      <w:r w:rsidRPr="00557DCC">
        <w:rPr>
          <w:rFonts w:asciiTheme="majorHAnsi" w:eastAsia="Times New Roman" w:hAnsiTheme="majorHAnsi" w:cs="Times New Roman"/>
          <w:b/>
          <w:noProof/>
          <w:color w:val="FFFFFF" w:themeColor="background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FC38B1" wp14:editId="0417BB71">
                <wp:simplePos x="0" y="0"/>
                <wp:positionH relativeFrom="column">
                  <wp:posOffset>-61595</wp:posOffset>
                </wp:positionH>
                <wp:positionV relativeFrom="paragraph">
                  <wp:posOffset>-275967</wp:posOffset>
                </wp:positionV>
                <wp:extent cx="8477573" cy="604434"/>
                <wp:effectExtent l="0" t="0" r="0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573" cy="604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162740" w:rsidRDefault="00CE7934" w:rsidP="00557DC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RI vs. US Comparison Perceptions of Great Risk of Smoking Marijuana Once a Month</w:t>
                            </w:r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(%) by Age Group; Time-trend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.85pt;margin-top:-21.75pt;width:667.55pt;height:4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" stroked="f">
                <v:textbox>
                  <w:txbxContent>
                    <w:p w:rsidR="00CE7934" w:rsidRPr="00162740" w:rsidRDefault="00CE7934" w:rsidP="00557DCC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RI vs. US Comparison Perceptions of Great Risk of Smoking Marijuana Once a Month</w:t>
                      </w:r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(%) by Age Group; Time-trend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Shading1-Accent1"/>
        <w:tblW w:w="13805" w:type="dxa"/>
        <w:tblLook w:val="04A0" w:firstRow="1" w:lastRow="0" w:firstColumn="1" w:lastColumn="0" w:noHBand="0" w:noVBand="1"/>
      </w:tblPr>
      <w:tblGrid>
        <w:gridCol w:w="1278"/>
        <w:gridCol w:w="737"/>
        <w:gridCol w:w="883"/>
        <w:gridCol w:w="810"/>
        <w:gridCol w:w="737"/>
        <w:gridCol w:w="737"/>
        <w:gridCol w:w="866"/>
        <w:gridCol w:w="810"/>
        <w:gridCol w:w="737"/>
        <w:gridCol w:w="737"/>
        <w:gridCol w:w="776"/>
        <w:gridCol w:w="810"/>
        <w:gridCol w:w="737"/>
        <w:gridCol w:w="737"/>
        <w:gridCol w:w="866"/>
        <w:gridCol w:w="810"/>
        <w:gridCol w:w="737"/>
      </w:tblGrid>
      <w:tr w:rsidR="00557DCC" w:rsidRPr="00557DCC" w:rsidTr="00557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:rsidR="00557DCC" w:rsidRPr="00557DCC" w:rsidRDefault="00557DCC" w:rsidP="00557DC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:rsidR="00557DCC" w:rsidRPr="00557DCC" w:rsidRDefault="00557DCC" w:rsidP="0055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sz w:val="20"/>
                <w:szCs w:val="20"/>
              </w:rPr>
              <w:t>2004-05</w:t>
            </w:r>
          </w:p>
        </w:tc>
        <w:tc>
          <w:tcPr>
            <w:tcW w:w="3150" w:type="dxa"/>
            <w:gridSpan w:val="4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:rsidR="00557DCC" w:rsidRPr="00557DCC" w:rsidRDefault="00557DCC" w:rsidP="0055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sz w:val="20"/>
                <w:szCs w:val="20"/>
              </w:rPr>
              <w:t>2007-08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:rsidR="00557DCC" w:rsidRPr="00557DCC" w:rsidRDefault="00557DCC" w:rsidP="0055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sz w:val="20"/>
                <w:szCs w:val="20"/>
              </w:rPr>
              <w:t>2011-2012</w:t>
            </w:r>
          </w:p>
        </w:tc>
        <w:tc>
          <w:tcPr>
            <w:tcW w:w="3150" w:type="dxa"/>
            <w:gridSpan w:val="4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:rsidR="00557DCC" w:rsidRPr="00557DCC" w:rsidRDefault="00557DCC" w:rsidP="0055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sz w:val="20"/>
                <w:szCs w:val="20"/>
              </w:rPr>
              <w:t>2012-2013</w:t>
            </w:r>
          </w:p>
        </w:tc>
      </w:tr>
      <w:tr w:rsidR="00557DCC" w:rsidRPr="00557DCC" w:rsidTr="0055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</w:tr>
      <w:tr w:rsidR="00557DCC" w:rsidRPr="00557DCC" w:rsidTr="00557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35.41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32.34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18.79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32.38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35.79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23.89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20.08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20.46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7BA0CD" w:themeColor="accent1" w:themeTint="BF"/>
              <w:bottom w:val="nil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24.59</w:t>
            </w:r>
          </w:p>
        </w:tc>
      </w:tr>
      <w:tr w:rsidR="00557DCC" w:rsidRPr="00557DCC" w:rsidTr="0055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39.04</w:t>
            </w:r>
          </w:p>
        </w:tc>
        <w:tc>
          <w:tcPr>
            <w:tcW w:w="883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34.45</w:t>
            </w:r>
          </w:p>
        </w:tc>
        <w:tc>
          <w:tcPr>
            <w:tcW w:w="810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25.03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42.13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37.66</w:t>
            </w:r>
          </w:p>
        </w:tc>
        <w:tc>
          <w:tcPr>
            <w:tcW w:w="866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33.91</w:t>
            </w:r>
          </w:p>
        </w:tc>
        <w:tc>
          <w:tcPr>
            <w:tcW w:w="810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23.69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40.56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31.37</w:t>
            </w:r>
          </w:p>
        </w:tc>
        <w:tc>
          <w:tcPr>
            <w:tcW w:w="776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810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34.36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866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810" w:type="dxa"/>
            <w:tcBorders>
              <w:top w:val="nil"/>
              <w:left w:val="single" w:sz="4" w:space="0" w:color="7BA0CD" w:themeColor="accent1" w:themeTint="BF"/>
              <w:righ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737" w:type="dxa"/>
            <w:tcBorders>
              <w:top w:val="nil"/>
              <w:left w:val="single" w:sz="4" w:space="0" w:color="7BA0CD" w:themeColor="accent1" w:themeTint="BF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32.40</w:t>
            </w:r>
          </w:p>
        </w:tc>
      </w:tr>
      <w:tr w:rsidR="00557DCC" w:rsidRPr="00557DCC" w:rsidTr="00557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7DCC" w:rsidRPr="00557DCC" w:rsidTr="0055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0.91</w:t>
            </w:r>
          </w:p>
        </w:tc>
        <w:tc>
          <w:tcPr>
            <w:tcW w:w="883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0.94</w:t>
            </w:r>
          </w:p>
        </w:tc>
        <w:tc>
          <w:tcPr>
            <w:tcW w:w="810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0.75</w:t>
            </w: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0.92</w:t>
            </w: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0.86</w:t>
            </w:r>
          </w:p>
        </w:tc>
        <w:tc>
          <w:tcPr>
            <w:tcW w:w="866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0.87</w:t>
            </w:r>
          </w:p>
        </w:tc>
        <w:tc>
          <w:tcPr>
            <w:tcW w:w="810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0.67</w:t>
            </w: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0.88</w:t>
            </w: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0.76</w:t>
            </w:r>
          </w:p>
        </w:tc>
        <w:tc>
          <w:tcPr>
            <w:tcW w:w="776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0.74</w:t>
            </w:r>
          </w:p>
        </w:tc>
        <w:tc>
          <w:tcPr>
            <w:tcW w:w="810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0.66</w:t>
            </w: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0.78</w:t>
            </w: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0.75</w:t>
            </w:r>
          </w:p>
        </w:tc>
        <w:tc>
          <w:tcPr>
            <w:tcW w:w="866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0.81</w:t>
            </w:r>
          </w:p>
        </w:tc>
        <w:tc>
          <w:tcPr>
            <w:tcW w:w="810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0.68</w:t>
            </w:r>
          </w:p>
        </w:tc>
        <w:tc>
          <w:tcPr>
            <w:tcW w:w="737" w:type="dxa"/>
            <w:noWrap/>
            <w:vAlign w:val="center"/>
            <w:hideMark/>
          </w:tcPr>
          <w:p w:rsidR="00557DCC" w:rsidRPr="00557DCC" w:rsidRDefault="00557DCC" w:rsidP="0055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0.76</w:t>
            </w:r>
          </w:p>
        </w:tc>
      </w:tr>
    </w:tbl>
    <w:p w:rsidR="00757537" w:rsidRDefault="00557DCC" w:rsidP="009761D5">
      <w:pPr>
        <w:rPr>
          <w:rFonts w:ascii="Cambria" w:eastAsia="Times New Roman" w:hAnsi="Cambria" w:cs="Times New Roman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FA4CDD" wp14:editId="4563A415">
                <wp:simplePos x="0" y="0"/>
                <wp:positionH relativeFrom="column">
                  <wp:posOffset>-82550</wp:posOffset>
                </wp:positionH>
                <wp:positionV relativeFrom="paragraph">
                  <wp:posOffset>56257</wp:posOffset>
                </wp:positionV>
                <wp:extent cx="6715125" cy="1403985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F713CD" w:rsidRDefault="00CE7934" w:rsidP="00557DCC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>Ratios greater than 1 indicate those consumption patterns where RI exceeds the US average.</w:t>
                            </w:r>
                          </w:p>
                          <w:p w:rsidR="00CE7934" w:rsidRDefault="00CE7934" w:rsidP="00557DC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F713CD">
                              <w:rPr>
                                <w:b/>
                                <w:color w:val="00B050"/>
                              </w:rPr>
                              <w:t>Ratios smaller than 1 indicate those consumption patterns where RI is lower than the US average.</w:t>
                            </w:r>
                          </w:p>
                          <w:p w:rsidR="002E6C51" w:rsidRDefault="002E6C51" w:rsidP="00557DC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2E6C51" w:rsidRPr="002E6C51" w:rsidRDefault="002E6C51" w:rsidP="002E6C5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National Survey on Drug Use and Health, SAMHSA.</w:t>
                            </w:r>
                          </w:p>
                          <w:p w:rsidR="002E6C51" w:rsidRPr="00F713CD" w:rsidRDefault="002E6C51" w:rsidP="00557DC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6.5pt;margin-top:4.45pt;width:528.75pt;height:11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" stroked="f">
                <v:textbox style="mso-fit-shape-to-text:t">
                  <w:txbxContent>
                    <w:p w:rsidR="00CE7934" w:rsidRPr="00F713CD" w:rsidRDefault="00CE7934" w:rsidP="00557DCC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3CD">
                        <w:rPr>
                          <w:b/>
                          <w:color w:val="FF0000"/>
                        </w:rPr>
                        <w:t>Ratios greater than 1 indicate those consumption patterns where RI exceeds the US average.</w:t>
                      </w:r>
                    </w:p>
                    <w:p w:rsidR="00CE7934" w:rsidRDefault="00CE7934" w:rsidP="00557DCC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F713CD">
                        <w:rPr>
                          <w:b/>
                          <w:color w:val="00B050"/>
                        </w:rPr>
                        <w:t>Ratios smaller than 1 indicate those consumption patterns where RI is lower than the US average.</w:t>
                      </w:r>
                    </w:p>
                    <w:p w:rsidR="002E6C51" w:rsidRDefault="002E6C51" w:rsidP="00557DCC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  <w:p w:rsidR="002E6C51" w:rsidRPr="002E6C51" w:rsidRDefault="002E6C51" w:rsidP="002E6C5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National Survey on Drug Use and Health, SAMHSA.</w:t>
                      </w:r>
                    </w:p>
                    <w:p w:rsidR="002E6C51" w:rsidRPr="00F713CD" w:rsidRDefault="002E6C51" w:rsidP="00557DCC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1C6984" w:rsidRDefault="001C6984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557DCC" w:rsidP="009761D5">
      <w:pPr>
        <w:rPr>
          <w:rFonts w:ascii="Cambria" w:eastAsia="Times New Roman" w:hAnsi="Cambria" w:cs="Times New Roman"/>
          <w:sz w:val="28"/>
          <w:szCs w:val="28"/>
        </w:rPr>
      </w:pPr>
      <w:r w:rsidRPr="00557DCC">
        <w:rPr>
          <w:rFonts w:asciiTheme="majorHAnsi" w:eastAsia="Times New Roman" w:hAnsiTheme="majorHAnsi" w:cs="Times New Roman"/>
          <w:b/>
          <w:noProof/>
          <w:color w:val="FFFFFF" w:themeColor="background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C17FBC" wp14:editId="024E161C">
                <wp:simplePos x="0" y="0"/>
                <wp:positionH relativeFrom="column">
                  <wp:posOffset>29210</wp:posOffset>
                </wp:positionH>
                <wp:positionV relativeFrom="paragraph">
                  <wp:posOffset>170438</wp:posOffset>
                </wp:positionV>
                <wp:extent cx="8477573" cy="294467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573" cy="294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162740" w:rsidRDefault="00CE7934" w:rsidP="00557DC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RI vs. US Comparison Nonmedical Use of Pain Relievers in Past Year</w:t>
                            </w:r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(%) by Age Group; Time-trend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.3pt;margin-top:13.4pt;width:667.55pt;height:2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hAIwIAACQEAAAOAAAAZHJzL2Uyb0RvYy54bWysU9uO2yAQfa/Uf0C8N05cJ9lYcVbbbFNV&#10;2l6k3X4AxjhGBYYCiZ1+/Q44m6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" stroked="f">
                <v:textbox>
                  <w:txbxContent>
                    <w:p w:rsidR="00CE7934" w:rsidRPr="00162740" w:rsidRDefault="00CE7934" w:rsidP="00557DCC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RI vs. US Comparison Nonmedical Use of Pain Relievers in Past Year</w:t>
                      </w:r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(%) by Age Group; Time-trend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Shading1-Accent1"/>
        <w:tblpPr w:leftFromText="180" w:rightFromText="180" w:vertAnchor="text" w:horzAnchor="margin" w:tblpXSpec="center" w:tblpY="230"/>
        <w:tblW w:w="12786" w:type="dxa"/>
        <w:tblLook w:val="04A0" w:firstRow="1" w:lastRow="0" w:firstColumn="1" w:lastColumn="0" w:noHBand="0" w:noVBand="1"/>
      </w:tblPr>
      <w:tblGrid>
        <w:gridCol w:w="1239"/>
        <w:gridCol w:w="618"/>
        <w:gridCol w:w="800"/>
        <w:gridCol w:w="789"/>
        <w:gridCol w:w="618"/>
        <w:gridCol w:w="618"/>
        <w:gridCol w:w="812"/>
        <w:gridCol w:w="789"/>
        <w:gridCol w:w="618"/>
        <w:gridCol w:w="618"/>
        <w:gridCol w:w="812"/>
        <w:gridCol w:w="789"/>
        <w:gridCol w:w="618"/>
        <w:gridCol w:w="804"/>
        <w:gridCol w:w="816"/>
        <w:gridCol w:w="810"/>
        <w:gridCol w:w="618"/>
      </w:tblGrid>
      <w:tr w:rsidR="001C6984" w:rsidRPr="001C6984" w:rsidTr="001C6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sz w:val="20"/>
                <w:szCs w:val="20"/>
              </w:rPr>
              <w:t>2004-05</w:t>
            </w:r>
          </w:p>
        </w:tc>
        <w:tc>
          <w:tcPr>
            <w:tcW w:w="2837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sz w:val="20"/>
                <w:szCs w:val="20"/>
              </w:rPr>
              <w:t>2007-08</w:t>
            </w:r>
          </w:p>
        </w:tc>
        <w:tc>
          <w:tcPr>
            <w:tcW w:w="2837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sz w:val="20"/>
                <w:szCs w:val="20"/>
              </w:rPr>
              <w:t>2011-2012</w:t>
            </w:r>
          </w:p>
        </w:tc>
        <w:tc>
          <w:tcPr>
            <w:tcW w:w="3048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sz w:val="20"/>
                <w:szCs w:val="20"/>
              </w:rPr>
              <w:t>2012-2013</w:t>
            </w:r>
          </w:p>
        </w:tc>
      </w:tr>
      <w:tr w:rsidR="001C6984" w:rsidRPr="001C6984" w:rsidTr="001C6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</w:tr>
      <w:tr w:rsidR="001C6984" w:rsidRPr="00557DCC" w:rsidTr="001C6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16.59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16.58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7BA0CD" w:themeColor="accent1" w:themeTint="BF"/>
              <w:bottom w:val="nil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4.26</w:t>
            </w:r>
          </w:p>
        </w:tc>
      </w:tr>
      <w:tr w:rsidR="001C6984" w:rsidRPr="001C6984" w:rsidTr="001C6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80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789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812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789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812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789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04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816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618" w:type="dxa"/>
            <w:tcBorders>
              <w:top w:val="nil"/>
              <w:lef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3.60</w:t>
            </w:r>
          </w:p>
        </w:tc>
      </w:tr>
      <w:tr w:rsidR="001C6984" w:rsidRPr="00557DCC" w:rsidTr="001C6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C6984" w:rsidRPr="001C6984" w:rsidTr="001C6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1.23</w:t>
            </w:r>
          </w:p>
        </w:tc>
        <w:tc>
          <w:tcPr>
            <w:tcW w:w="800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1.06</w:t>
            </w:r>
          </w:p>
        </w:tc>
        <w:tc>
          <w:tcPr>
            <w:tcW w:w="789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1.36</w:t>
            </w: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1.07</w:t>
            </w: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1.28</w:t>
            </w:r>
          </w:p>
        </w:tc>
        <w:tc>
          <w:tcPr>
            <w:tcW w:w="812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0.95</w:t>
            </w:r>
          </w:p>
        </w:tc>
        <w:tc>
          <w:tcPr>
            <w:tcW w:w="789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1.37</w:t>
            </w: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1.27</w:t>
            </w: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1.14</w:t>
            </w:r>
          </w:p>
        </w:tc>
        <w:tc>
          <w:tcPr>
            <w:tcW w:w="812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</w:rPr>
              <w:t>0.97</w:t>
            </w:r>
          </w:p>
        </w:tc>
        <w:tc>
          <w:tcPr>
            <w:tcW w:w="789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1.17</w:t>
            </w: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1.13</w:t>
            </w:r>
          </w:p>
        </w:tc>
        <w:tc>
          <w:tcPr>
            <w:tcW w:w="804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1.17</w:t>
            </w:r>
          </w:p>
        </w:tc>
        <w:tc>
          <w:tcPr>
            <w:tcW w:w="816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1.09</w:t>
            </w:r>
          </w:p>
        </w:tc>
        <w:tc>
          <w:tcPr>
            <w:tcW w:w="810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1.12</w:t>
            </w:r>
          </w:p>
        </w:tc>
        <w:tc>
          <w:tcPr>
            <w:tcW w:w="618" w:type="dxa"/>
            <w:noWrap/>
            <w:vAlign w:val="center"/>
            <w:hideMark/>
          </w:tcPr>
          <w:p w:rsidR="001C6984" w:rsidRPr="00557DCC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557DC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1.18</w:t>
            </w:r>
          </w:p>
        </w:tc>
      </w:tr>
    </w:tbl>
    <w:p w:rsidR="00757537" w:rsidRDefault="001C6984" w:rsidP="009761D5">
      <w:pPr>
        <w:rPr>
          <w:rFonts w:ascii="Cambria" w:eastAsia="Times New Roman" w:hAnsi="Cambria" w:cs="Times New Roman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F504C1" wp14:editId="7DC4329B">
                <wp:simplePos x="0" y="0"/>
                <wp:positionH relativeFrom="column">
                  <wp:posOffset>38100</wp:posOffset>
                </wp:positionH>
                <wp:positionV relativeFrom="paragraph">
                  <wp:posOffset>1508760</wp:posOffset>
                </wp:positionV>
                <wp:extent cx="6715125" cy="1403985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F713CD" w:rsidRDefault="00CE7934" w:rsidP="001C698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>Ratios greater than 1 indicate those consumption patterns where RI exceeds the US average.</w:t>
                            </w:r>
                          </w:p>
                          <w:p w:rsidR="00CE7934" w:rsidRDefault="00CE7934" w:rsidP="001C6984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F713CD">
                              <w:rPr>
                                <w:b/>
                                <w:color w:val="00B050"/>
                              </w:rPr>
                              <w:t>Ratios smaller than 1 indicate those consumption patterns where RI is lower than the US average.</w:t>
                            </w:r>
                          </w:p>
                          <w:p w:rsidR="002E6C51" w:rsidRDefault="002E6C51" w:rsidP="001C6984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2E6C51" w:rsidRPr="002E6C51" w:rsidRDefault="002E6C51" w:rsidP="002E6C5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National Survey on Drug Use and Health, SAMHSA.</w:t>
                            </w:r>
                          </w:p>
                          <w:p w:rsidR="002E6C51" w:rsidRPr="00F713CD" w:rsidRDefault="002E6C51" w:rsidP="001C6984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pt;margin-top:118.8pt;width:528.75pt;height:1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uAJQIAACU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" stroked="f">
                <v:textbox style="mso-fit-shape-to-text:t">
                  <w:txbxContent>
                    <w:p w:rsidR="00CE7934" w:rsidRPr="00F713CD" w:rsidRDefault="00CE7934" w:rsidP="001C6984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3CD">
                        <w:rPr>
                          <w:b/>
                          <w:color w:val="FF0000"/>
                        </w:rPr>
                        <w:t>Ratios greater than 1 indicate those consumption patterns where RI exceeds the US average.</w:t>
                      </w:r>
                    </w:p>
                    <w:p w:rsidR="00CE7934" w:rsidRDefault="00CE7934" w:rsidP="001C6984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F713CD">
                        <w:rPr>
                          <w:b/>
                          <w:color w:val="00B050"/>
                        </w:rPr>
                        <w:t>Ratios smaller than 1 indicate those consumption patterns where RI is lower than the US average.</w:t>
                      </w:r>
                    </w:p>
                    <w:p w:rsidR="002E6C51" w:rsidRDefault="002E6C51" w:rsidP="001C6984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  <w:p w:rsidR="002E6C51" w:rsidRPr="002E6C51" w:rsidRDefault="002E6C51" w:rsidP="002E6C5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National Survey on Drug Use and Health, SAMHSA.</w:t>
                      </w:r>
                    </w:p>
                    <w:p w:rsidR="002E6C51" w:rsidRPr="00F713CD" w:rsidRDefault="002E6C51" w:rsidP="001C6984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1C6984" w:rsidP="009761D5">
      <w:pPr>
        <w:rPr>
          <w:rFonts w:ascii="Cambria" w:eastAsia="Times New Roman" w:hAnsi="Cambria" w:cs="Times New Roman"/>
          <w:sz w:val="28"/>
          <w:szCs w:val="28"/>
        </w:rPr>
      </w:pPr>
      <w:r w:rsidRPr="00557DCC">
        <w:rPr>
          <w:rFonts w:asciiTheme="majorHAnsi" w:eastAsia="Times New Roman" w:hAnsiTheme="majorHAnsi" w:cs="Times New Roman"/>
          <w:b/>
          <w:noProof/>
          <w:color w:val="FFFFFF" w:themeColor="background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BDF54" wp14:editId="3E036199">
                <wp:simplePos x="0" y="0"/>
                <wp:positionH relativeFrom="column">
                  <wp:posOffset>-34925</wp:posOffset>
                </wp:positionH>
                <wp:positionV relativeFrom="paragraph">
                  <wp:posOffset>-33752</wp:posOffset>
                </wp:positionV>
                <wp:extent cx="8477573" cy="294467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573" cy="294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162740" w:rsidRDefault="00CE7934" w:rsidP="001C698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RI vs. US Comparison Alcohol Use Past Month</w:t>
                            </w:r>
                            <w:r w:rsidRPr="00162740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(%) by Age Group; Time-trend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.75pt;margin-top:-2.65pt;width:667.55pt;height:2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" stroked="f">
                <v:textbox>
                  <w:txbxContent>
                    <w:p w:rsidR="00CE7934" w:rsidRPr="00162740" w:rsidRDefault="00CE7934" w:rsidP="001C6984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RI vs. US Comparison Alcohol Use Past Month</w:t>
                      </w:r>
                      <w:r w:rsidRPr="00162740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8"/>
                          <w:szCs w:val="28"/>
                        </w:rPr>
                        <w:t>(%) by Age Group; Time-trend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Shading1-Accent1"/>
        <w:tblW w:w="13625" w:type="dxa"/>
        <w:tblLook w:val="04A0" w:firstRow="1" w:lastRow="0" w:firstColumn="1" w:lastColumn="0" w:noHBand="0" w:noVBand="1"/>
      </w:tblPr>
      <w:tblGrid>
        <w:gridCol w:w="1188"/>
        <w:gridCol w:w="737"/>
        <w:gridCol w:w="883"/>
        <w:gridCol w:w="810"/>
        <w:gridCol w:w="737"/>
        <w:gridCol w:w="737"/>
        <w:gridCol w:w="776"/>
        <w:gridCol w:w="810"/>
        <w:gridCol w:w="737"/>
        <w:gridCol w:w="737"/>
        <w:gridCol w:w="776"/>
        <w:gridCol w:w="810"/>
        <w:gridCol w:w="737"/>
        <w:gridCol w:w="737"/>
        <w:gridCol w:w="866"/>
        <w:gridCol w:w="810"/>
        <w:gridCol w:w="737"/>
      </w:tblGrid>
      <w:tr w:rsidR="001C6984" w:rsidRPr="001C6984" w:rsidTr="001C6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sz w:val="20"/>
                <w:szCs w:val="20"/>
              </w:rPr>
              <w:t>2004-05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sz w:val="20"/>
                <w:szCs w:val="20"/>
              </w:rPr>
              <w:t>2007-08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sz w:val="20"/>
                <w:szCs w:val="20"/>
              </w:rPr>
              <w:t>2011-2012</w:t>
            </w:r>
          </w:p>
        </w:tc>
        <w:tc>
          <w:tcPr>
            <w:tcW w:w="3150" w:type="dxa"/>
            <w:gridSpan w:val="4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sz w:val="20"/>
                <w:szCs w:val="20"/>
              </w:rPr>
              <w:t>2012-2013</w:t>
            </w:r>
          </w:p>
        </w:tc>
      </w:tr>
      <w:tr w:rsidR="001C6984" w:rsidRPr="001C6984" w:rsidTr="001C6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12+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26+</w:t>
            </w:r>
          </w:p>
        </w:tc>
      </w:tr>
      <w:tr w:rsidR="001C6984" w:rsidRPr="001C6984" w:rsidTr="001C6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60.38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73.05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63.25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61.62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20.74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74.80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64.19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63.35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15.74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73.46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59.38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69.37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7BA0CD" w:themeColor="accent1" w:themeTint="BF"/>
              <w:bottom w:val="nil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62.48</w:t>
            </w:r>
          </w:p>
        </w:tc>
      </w:tr>
      <w:tr w:rsidR="001C6984" w:rsidRPr="001C6984" w:rsidTr="001C6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883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60.69</w:t>
            </w:r>
          </w:p>
        </w:tc>
        <w:tc>
          <w:tcPr>
            <w:tcW w:w="737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54.03</w:t>
            </w:r>
          </w:p>
        </w:tc>
        <w:tc>
          <w:tcPr>
            <w:tcW w:w="737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51.39</w:t>
            </w:r>
          </w:p>
        </w:tc>
        <w:tc>
          <w:tcPr>
            <w:tcW w:w="776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61.18</w:t>
            </w:r>
          </w:p>
        </w:tc>
        <w:tc>
          <w:tcPr>
            <w:tcW w:w="737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54.44</w:t>
            </w:r>
          </w:p>
        </w:tc>
        <w:tc>
          <w:tcPr>
            <w:tcW w:w="737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51.94</w:t>
            </w:r>
          </w:p>
        </w:tc>
        <w:tc>
          <w:tcPr>
            <w:tcW w:w="776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60.45</w:t>
            </w:r>
          </w:p>
        </w:tc>
        <w:tc>
          <w:tcPr>
            <w:tcW w:w="737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55.33</w:t>
            </w:r>
          </w:p>
        </w:tc>
        <w:tc>
          <w:tcPr>
            <w:tcW w:w="737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52.13</w:t>
            </w:r>
          </w:p>
        </w:tc>
        <w:tc>
          <w:tcPr>
            <w:tcW w:w="866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12.23</w:t>
            </w:r>
          </w:p>
        </w:tc>
        <w:tc>
          <w:tcPr>
            <w:tcW w:w="810" w:type="dxa"/>
            <w:tcBorders>
              <w:top w:val="nil"/>
              <w:left w:val="single" w:sz="8" w:space="0" w:color="7BA0CD" w:themeColor="accent1" w:themeTint="BF"/>
              <w:righ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59.91</w:t>
            </w:r>
          </w:p>
        </w:tc>
        <w:tc>
          <w:tcPr>
            <w:tcW w:w="737" w:type="dxa"/>
            <w:tcBorders>
              <w:top w:val="nil"/>
              <w:left w:val="single" w:sz="8" w:space="0" w:color="7BA0CD" w:themeColor="accent1" w:themeTint="BF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55.73</w:t>
            </w:r>
          </w:p>
        </w:tc>
      </w:tr>
      <w:tr w:rsidR="001C6984" w:rsidRPr="001C6984" w:rsidTr="001C6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C6984" w:rsidRPr="001C6984" w:rsidTr="001C6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883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1.16</w:t>
            </w:r>
          </w:p>
        </w:tc>
        <w:tc>
          <w:tcPr>
            <w:tcW w:w="810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1.20</w:t>
            </w: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1.17</w:t>
            </w: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1.20</w:t>
            </w:r>
          </w:p>
        </w:tc>
        <w:tc>
          <w:tcPr>
            <w:tcW w:w="776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1.35</w:t>
            </w:r>
          </w:p>
        </w:tc>
        <w:tc>
          <w:tcPr>
            <w:tcW w:w="810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1.22</w:t>
            </w: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1.18</w:t>
            </w: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1.22</w:t>
            </w:r>
          </w:p>
        </w:tc>
        <w:tc>
          <w:tcPr>
            <w:tcW w:w="776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1.20</w:t>
            </w:r>
          </w:p>
        </w:tc>
        <w:tc>
          <w:tcPr>
            <w:tcW w:w="810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1.22</w:t>
            </w: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1.21</w:t>
            </w: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1.14</w:t>
            </w:r>
          </w:p>
        </w:tc>
        <w:tc>
          <w:tcPr>
            <w:tcW w:w="866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1.17</w:t>
            </w:r>
          </w:p>
        </w:tc>
        <w:tc>
          <w:tcPr>
            <w:tcW w:w="810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1.16</w:t>
            </w:r>
          </w:p>
        </w:tc>
        <w:tc>
          <w:tcPr>
            <w:tcW w:w="737" w:type="dxa"/>
            <w:noWrap/>
            <w:vAlign w:val="center"/>
            <w:hideMark/>
          </w:tcPr>
          <w:p w:rsidR="001C6984" w:rsidRPr="001C6984" w:rsidRDefault="001C6984" w:rsidP="001C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1C6984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1.12</w:t>
            </w:r>
          </w:p>
        </w:tc>
      </w:tr>
    </w:tbl>
    <w:p w:rsidR="00757537" w:rsidRDefault="001C6984" w:rsidP="009761D5">
      <w:pPr>
        <w:rPr>
          <w:rFonts w:ascii="Cambria" w:eastAsia="Times New Roman" w:hAnsi="Cambria" w:cs="Times New Roman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478F78" wp14:editId="2B57D4A6">
                <wp:simplePos x="0" y="0"/>
                <wp:positionH relativeFrom="column">
                  <wp:posOffset>-61218</wp:posOffset>
                </wp:positionH>
                <wp:positionV relativeFrom="paragraph">
                  <wp:posOffset>36830</wp:posOffset>
                </wp:positionV>
                <wp:extent cx="6715125" cy="1403985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34" w:rsidRPr="00F713CD" w:rsidRDefault="00CE7934" w:rsidP="001C698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>Ratios greater than 1 indicate those consumption patterns where RI exceeds the US average.</w:t>
                            </w:r>
                          </w:p>
                          <w:p w:rsidR="00CE7934" w:rsidRDefault="00CE7934" w:rsidP="001C6984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F713CD">
                              <w:rPr>
                                <w:b/>
                                <w:color w:val="00B050"/>
                              </w:rPr>
                              <w:t>Ratios smaller than 1 indicate those consumption patterns where RI is lower than the US average.</w:t>
                            </w:r>
                          </w:p>
                          <w:p w:rsidR="002E6C51" w:rsidRDefault="002E6C51" w:rsidP="001C6984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2E6C51" w:rsidRPr="002E6C51" w:rsidRDefault="002E6C51" w:rsidP="002E6C5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National Survey on Drug Use and Health, SAMHSA.</w:t>
                            </w:r>
                          </w:p>
                          <w:p w:rsidR="002E6C51" w:rsidRPr="00F713CD" w:rsidRDefault="002E6C51" w:rsidP="001C6984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.8pt;margin-top:2.9pt;width:528.75pt;height:1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/yJAIAACU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" stroked="f">
                <v:textbox style="mso-fit-shape-to-text:t">
                  <w:txbxContent>
                    <w:p w:rsidR="00CE7934" w:rsidRPr="00F713CD" w:rsidRDefault="00CE7934" w:rsidP="001C6984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3CD">
                        <w:rPr>
                          <w:b/>
                          <w:color w:val="FF0000"/>
                        </w:rPr>
                        <w:t>Ratios greater than 1 indicate those consumption patterns where RI exceeds the US average.</w:t>
                      </w:r>
                    </w:p>
                    <w:p w:rsidR="00CE7934" w:rsidRDefault="00CE7934" w:rsidP="001C6984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F713CD">
                        <w:rPr>
                          <w:b/>
                          <w:color w:val="00B050"/>
                        </w:rPr>
                        <w:t>Ratios smaller than 1 indicate those consumption patterns where RI is lower than the US average.</w:t>
                      </w:r>
                    </w:p>
                    <w:p w:rsidR="002E6C51" w:rsidRDefault="002E6C51" w:rsidP="001C6984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  <w:p w:rsidR="002E6C51" w:rsidRPr="002E6C51" w:rsidRDefault="002E6C51" w:rsidP="002E6C5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National Survey on Drug Use and Health, SAMHSA.</w:t>
                      </w:r>
                    </w:p>
                    <w:p w:rsidR="002E6C51" w:rsidRPr="00F713CD" w:rsidRDefault="002E6C51" w:rsidP="001C6984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757537" w:rsidRDefault="00757537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CE7934" w:rsidRDefault="00CE7934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CE7934" w:rsidRDefault="00CE7934" w:rsidP="009761D5">
      <w:pPr>
        <w:rPr>
          <w:rFonts w:ascii="Cambria" w:eastAsia="Times New Roman" w:hAnsi="Cambria" w:cs="Times New Roman"/>
          <w:sz w:val="28"/>
          <w:szCs w:val="28"/>
        </w:rPr>
      </w:pPr>
    </w:p>
    <w:p w:rsidR="00CE7934" w:rsidRDefault="00CE7934" w:rsidP="009761D5">
      <w:pPr>
        <w:rPr>
          <w:rFonts w:ascii="Cambria" w:eastAsia="Times New Roman" w:hAnsi="Cambria" w:cs="Times New Roman"/>
          <w:sz w:val="28"/>
          <w:szCs w:val="28"/>
        </w:rPr>
      </w:pPr>
    </w:p>
    <w:tbl>
      <w:tblPr>
        <w:tblStyle w:val="MediumShading2-Accent1"/>
        <w:tblpPr w:leftFromText="180" w:rightFromText="180" w:horzAnchor="margin" w:tblpXSpec="center" w:tblpY="976"/>
        <w:tblW w:w="10429" w:type="dxa"/>
        <w:tblLook w:val="04A0" w:firstRow="1" w:lastRow="0" w:firstColumn="1" w:lastColumn="0" w:noHBand="0" w:noVBand="1"/>
      </w:tblPr>
      <w:tblGrid>
        <w:gridCol w:w="738"/>
        <w:gridCol w:w="973"/>
        <w:gridCol w:w="973"/>
        <w:gridCol w:w="973"/>
        <w:gridCol w:w="973"/>
        <w:gridCol w:w="973"/>
        <w:gridCol w:w="973"/>
        <w:gridCol w:w="973"/>
        <w:gridCol w:w="960"/>
        <w:gridCol w:w="960"/>
        <w:gridCol w:w="960"/>
      </w:tblGrid>
      <w:tr w:rsidR="00EA6374" w:rsidRPr="00EA6374" w:rsidTr="00157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1" w:type="dxa"/>
            <w:gridSpan w:val="2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  <w:bCs w:val="0"/>
              </w:rPr>
            </w:pPr>
            <w:r w:rsidRPr="00EA6374">
              <w:rPr>
                <w:rFonts w:ascii="Calibri" w:eastAsia="Times New Roman" w:hAnsi="Calibri" w:cs="Times New Roman"/>
                <w:bCs w:val="0"/>
              </w:rPr>
              <w:lastRenderedPageBreak/>
              <w:t>USA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</w:rPr>
            </w:pPr>
            <w:r w:rsidRPr="00EA6374">
              <w:rPr>
                <w:rFonts w:ascii="Calibri" w:eastAsia="Times New Roman" w:hAnsi="Calibri" w:cs="Times New Roman"/>
                <w:bCs w:val="0"/>
              </w:rPr>
              <w:t>RI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</w:rPr>
            </w:pPr>
            <w:r w:rsidRPr="00EA6374">
              <w:rPr>
                <w:rFonts w:ascii="Calibri" w:eastAsia="Times New Roman" w:hAnsi="Calibri" w:cs="Times New Roman"/>
                <w:bCs w:val="0"/>
              </w:rPr>
              <w:t>CT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</w:rPr>
            </w:pPr>
            <w:r w:rsidRPr="00EA6374">
              <w:rPr>
                <w:rFonts w:ascii="Calibri" w:eastAsia="Times New Roman" w:hAnsi="Calibri" w:cs="Times New Roman"/>
                <w:bCs w:val="0"/>
              </w:rPr>
              <w:t>MA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</w:rPr>
            </w:pPr>
            <w:r w:rsidRPr="00EA6374">
              <w:rPr>
                <w:rFonts w:ascii="Calibri" w:eastAsia="Times New Roman" w:hAnsi="Calibri" w:cs="Times New Roman"/>
                <w:bCs w:val="0"/>
              </w:rPr>
              <w:t>ME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</w:rPr>
            </w:pPr>
            <w:r w:rsidRPr="00EA6374">
              <w:rPr>
                <w:rFonts w:ascii="Calibri" w:eastAsia="Times New Roman" w:hAnsi="Calibri" w:cs="Times New Roman"/>
                <w:bCs w:val="0"/>
              </w:rPr>
              <w:t>NH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</w:rPr>
            </w:pPr>
            <w:r w:rsidRPr="00EA6374">
              <w:rPr>
                <w:rFonts w:ascii="Calibri" w:eastAsia="Times New Roman" w:hAnsi="Calibri" w:cs="Times New Roman"/>
                <w:bCs w:val="0"/>
              </w:rPr>
              <w:t>NJ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</w:rPr>
            </w:pPr>
            <w:r w:rsidRPr="00EA6374">
              <w:rPr>
                <w:rFonts w:ascii="Calibri" w:eastAsia="Times New Roman" w:hAnsi="Calibri" w:cs="Times New Roman"/>
                <w:bCs w:val="0"/>
              </w:rPr>
              <w:t>NY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</w:rPr>
            </w:pPr>
            <w:r w:rsidRPr="00EA6374">
              <w:rPr>
                <w:rFonts w:ascii="Calibri" w:eastAsia="Times New Roman" w:hAnsi="Calibri" w:cs="Times New Roman"/>
                <w:bCs w:val="0"/>
              </w:rPr>
              <w:t>PA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</w:rPr>
            </w:pPr>
            <w:r w:rsidRPr="00EA6374">
              <w:rPr>
                <w:rFonts w:ascii="Calibri" w:eastAsia="Times New Roman" w:hAnsi="Calibri" w:cs="Times New Roman"/>
                <w:bCs w:val="0"/>
              </w:rPr>
              <w:t>VT</w:t>
            </w:r>
          </w:p>
        </w:tc>
      </w:tr>
      <w:tr w:rsidR="00CE7934" w:rsidRPr="00CE7934" w:rsidTr="0015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CE7934" w:rsidRDefault="00CE7934" w:rsidP="00EA63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E7934" w:rsidRPr="00EA6374" w:rsidRDefault="00EA637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 xml:space="preserve">% </w:t>
            </w:r>
            <w:r w:rsidR="00CE7934" w:rsidRPr="00EA6374">
              <w:rPr>
                <w:rFonts w:ascii="Calibri" w:eastAsia="Times New Roman" w:hAnsi="Calibri" w:cs="Times New Roman"/>
                <w:b/>
                <w:color w:val="000000"/>
              </w:rPr>
              <w:t>Needing But Not Receiving Treatment for Alcohol Use Past Year 12-17</w:t>
            </w:r>
          </w:p>
        </w:tc>
      </w:tr>
      <w:tr w:rsidR="00CE7934" w:rsidRPr="00CE7934" w:rsidTr="001573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5.51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5.76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5.88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5.23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6.52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5.92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5.58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5.12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5.32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6.27</w:t>
            </w:r>
          </w:p>
        </w:tc>
      </w:tr>
      <w:tr w:rsidR="00CE7934" w:rsidRPr="00CE7934" w:rsidTr="0015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2008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7.10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7.57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6.05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5.10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5.06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5.47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4.25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4.64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4.60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5.40</w:t>
            </w:r>
          </w:p>
        </w:tc>
      </w:tr>
      <w:tr w:rsidR="00CE7934" w:rsidRPr="00CE7934" w:rsidTr="001573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2012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3.46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3.72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3.70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3.89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3.15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3.90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3.78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3.58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3.74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3.93</w:t>
            </w:r>
          </w:p>
        </w:tc>
      </w:tr>
      <w:tr w:rsidR="00CE7934" w:rsidRPr="00CE7934" w:rsidTr="0015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2.93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3.10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2.85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3.18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3.09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4.32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2.79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3.17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3.98</w:t>
            </w:r>
          </w:p>
        </w:tc>
      </w:tr>
      <w:tr w:rsidR="00CE7934" w:rsidRPr="00CE7934" w:rsidTr="001573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69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E7934" w:rsidRPr="00EA6374" w:rsidRDefault="00EA637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 xml:space="preserve">% </w:t>
            </w:r>
            <w:r w:rsidR="00CE7934" w:rsidRPr="00EA6374">
              <w:rPr>
                <w:rFonts w:ascii="Calibri" w:eastAsia="Times New Roman" w:hAnsi="Calibri" w:cs="Times New Roman"/>
                <w:b/>
                <w:color w:val="000000"/>
              </w:rPr>
              <w:t>Needing But Not Receiving Treatment for Alcohol Use Past Year 18-25</w:t>
            </w:r>
          </w:p>
        </w:tc>
      </w:tr>
      <w:tr w:rsidR="00CE7934" w:rsidRPr="00CE7934" w:rsidTr="0015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16.92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19.13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20.47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18.81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16.10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10.18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15.10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16.38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18.43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21.45</w:t>
            </w:r>
          </w:p>
        </w:tc>
      </w:tr>
      <w:tr w:rsidR="00CE7934" w:rsidRPr="00CE7934" w:rsidTr="001573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2008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16.52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17.88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18.56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18.86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17.14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19.81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16.35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16.38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16.74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18.22</w:t>
            </w:r>
          </w:p>
        </w:tc>
      </w:tr>
      <w:tr w:rsidR="00CE7934" w:rsidRPr="00CE7934" w:rsidTr="0015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2012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13.94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18.75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15.77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15.77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14.55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16.62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15.64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12.93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13.93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16.00</w:t>
            </w:r>
          </w:p>
        </w:tc>
      </w:tr>
      <w:tr w:rsidR="00CE7934" w:rsidRPr="00CE7934" w:rsidTr="001573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13.34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17.03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14.34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14.21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14.36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18.66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14.05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12.59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14.17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14.97</w:t>
            </w:r>
          </w:p>
        </w:tc>
      </w:tr>
      <w:tr w:rsidR="00CE7934" w:rsidRPr="00CE7934" w:rsidTr="0015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69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E7934" w:rsidRPr="00EA6374" w:rsidRDefault="00EA637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 xml:space="preserve">% </w:t>
            </w:r>
            <w:r w:rsidR="00CE7934" w:rsidRPr="00EA6374">
              <w:rPr>
                <w:rFonts w:ascii="Calibri" w:eastAsia="Times New Roman" w:hAnsi="Calibri" w:cs="Times New Roman"/>
                <w:b/>
                <w:color w:val="000000"/>
              </w:rPr>
              <w:t>Needing But Not Receiving Treatment for Drug Use Past Year 12-17</w:t>
            </w:r>
          </w:p>
        </w:tc>
      </w:tr>
      <w:tr w:rsidR="00CE7934" w:rsidRPr="00CE7934" w:rsidTr="001573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4.69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6.02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5.39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5.27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6.51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5.46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4.90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4.78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4.26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5.20</w:t>
            </w:r>
          </w:p>
        </w:tc>
      </w:tr>
      <w:tr w:rsidR="00CE7934" w:rsidRPr="00CE7934" w:rsidTr="0015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2008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4.19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4.91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3.96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4.04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4.31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4.92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3.88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3.98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3.47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4.16</w:t>
            </w:r>
          </w:p>
        </w:tc>
      </w:tr>
      <w:tr w:rsidR="00CE7934" w:rsidRPr="00CE7934" w:rsidTr="001573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2012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3.97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4.05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4.10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4.33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3.12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4.74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4.11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3.48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3.62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4.10</w:t>
            </w:r>
          </w:p>
        </w:tc>
      </w:tr>
      <w:tr w:rsidR="00CE7934" w:rsidRPr="00CE7934" w:rsidTr="0015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3.49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4.28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3.32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3.41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3.90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2.92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3.52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3.05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3.52</w:t>
            </w:r>
          </w:p>
        </w:tc>
      </w:tr>
      <w:tr w:rsidR="00CE7934" w:rsidRPr="00CE7934" w:rsidTr="001573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69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E7934" w:rsidRPr="00EA6374" w:rsidRDefault="00EA637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 xml:space="preserve">% </w:t>
            </w:r>
            <w:r w:rsidR="00CE7934" w:rsidRPr="00EA6374">
              <w:rPr>
                <w:rFonts w:ascii="Calibri" w:eastAsia="Times New Roman" w:hAnsi="Calibri" w:cs="Times New Roman"/>
                <w:b/>
                <w:color w:val="000000"/>
              </w:rPr>
              <w:t>Needing But Not Receiving Treatment for Drug Use Past Year 18-25</w:t>
            </w:r>
          </w:p>
        </w:tc>
      </w:tr>
      <w:tr w:rsidR="00CE7934" w:rsidRPr="00CE7934" w:rsidTr="0015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7.74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11.42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12.27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9.29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10.49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8.43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7.62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8.33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7.57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9.44</w:t>
            </w:r>
          </w:p>
        </w:tc>
      </w:tr>
      <w:tr w:rsidR="00CE7934" w:rsidRPr="00CE7934" w:rsidTr="001573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2008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7.37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12.00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8.19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9.59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9.28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8.35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6.73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8.36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6.90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8.63</w:t>
            </w:r>
          </w:p>
        </w:tc>
      </w:tr>
      <w:tr w:rsidR="00CE7934" w:rsidRPr="00CE7934" w:rsidTr="0015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2012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7.03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7.06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6.96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6.31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7.91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8.59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7.04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7.55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6.19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9.33</w:t>
            </w:r>
          </w:p>
        </w:tc>
      </w:tr>
      <w:tr w:rsidR="00CE7934" w:rsidRPr="00CE7934" w:rsidTr="001573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CE7934" w:rsidRPr="00EA6374" w:rsidRDefault="00CE7934" w:rsidP="00EA6374">
            <w:pPr>
              <w:jc w:val="right"/>
              <w:rPr>
                <w:rFonts w:ascii="Calibri" w:eastAsia="Times New Roman" w:hAnsi="Calibri" w:cs="Times New Roman"/>
              </w:rPr>
            </w:pPr>
            <w:r w:rsidRPr="00EA6374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6.94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FF0000"/>
              </w:rPr>
              <w:t>8.05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7.33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7.36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7.96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8.61</w:t>
            </w:r>
          </w:p>
        </w:tc>
        <w:tc>
          <w:tcPr>
            <w:tcW w:w="973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6.70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7.29</w:t>
            </w:r>
          </w:p>
        </w:tc>
        <w:tc>
          <w:tcPr>
            <w:tcW w:w="960" w:type="dxa"/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6.81</w:t>
            </w:r>
          </w:p>
        </w:tc>
        <w:tc>
          <w:tcPr>
            <w:tcW w:w="960" w:type="dxa"/>
            <w:tcBorders>
              <w:bottom w:val="single" w:sz="18" w:space="0" w:color="auto"/>
              <w:right w:val="single" w:sz="4" w:space="0" w:color="auto"/>
            </w:tcBorders>
            <w:noWrap/>
            <w:hideMark/>
          </w:tcPr>
          <w:p w:rsidR="00CE7934" w:rsidRPr="00EA6374" w:rsidRDefault="00CE7934" w:rsidP="00E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6374">
              <w:rPr>
                <w:rFonts w:ascii="Calibri" w:eastAsia="Times New Roman" w:hAnsi="Calibri" w:cs="Times New Roman"/>
                <w:b/>
                <w:color w:val="000000"/>
              </w:rPr>
              <w:t>8.11</w:t>
            </w:r>
          </w:p>
        </w:tc>
      </w:tr>
    </w:tbl>
    <w:p w:rsidR="00EA6374" w:rsidRDefault="00EA6374" w:rsidP="009761D5">
      <w:pPr>
        <w:rPr>
          <w:rFonts w:ascii="Cambria" w:eastAsia="Times New Roman" w:hAnsi="Cambria" w:cs="Times New Roman"/>
          <w:sz w:val="28"/>
          <w:szCs w:val="28"/>
        </w:rPr>
      </w:pPr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0468EC" wp14:editId="3039FB88">
                <wp:simplePos x="0" y="0"/>
                <wp:positionH relativeFrom="column">
                  <wp:posOffset>753487</wp:posOffset>
                </wp:positionH>
                <wp:positionV relativeFrom="paragraph">
                  <wp:posOffset>4771390</wp:posOffset>
                </wp:positionV>
                <wp:extent cx="6477000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74" w:rsidRDefault="00EA6374" w:rsidP="00EA637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RI Indicators greater than national averages are shown in red.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EA6374" w:rsidRDefault="00EA6374" w:rsidP="00EA6374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RI indicators</w:t>
                            </w:r>
                            <w:r w:rsidRPr="00F713CD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less than national averages are shown in green</w:t>
                            </w:r>
                            <w:r w:rsidRPr="00F713CD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  <w:p w:rsidR="002E6C51" w:rsidRDefault="002E6C51" w:rsidP="00EA6374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2E6C51" w:rsidRPr="002E6C51" w:rsidRDefault="002E6C51" w:rsidP="002E6C5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E6C51">
                              <w:rPr>
                                <w:i/>
                              </w:rPr>
                              <w:t>Source: National Survey on Drug Use and Health, SAMHSA.</w:t>
                            </w:r>
                          </w:p>
                          <w:p w:rsidR="002E6C51" w:rsidRPr="00F713CD" w:rsidRDefault="002E6C51" w:rsidP="00EA6374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59.35pt;margin-top:375.7pt;width:510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" stroked="f">
                <v:textbox style="mso-fit-shape-to-text:t">
                  <w:txbxContent>
                    <w:p w:rsidR="00EA6374" w:rsidRDefault="00EA6374" w:rsidP="00EA6374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RI Indicators greater than national averages are shown in red.</w:t>
                      </w:r>
                      <w:r w:rsidRPr="00F713CD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EA6374" w:rsidRDefault="00EA6374" w:rsidP="00EA6374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RI indicators</w:t>
                      </w:r>
                      <w:r w:rsidRPr="00F713CD">
                        <w:rPr>
                          <w:b/>
                          <w:color w:val="00B050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</w:rPr>
                        <w:t>less than national averages are shown in green</w:t>
                      </w:r>
                      <w:r w:rsidRPr="00F713CD">
                        <w:rPr>
                          <w:b/>
                          <w:color w:val="00B050"/>
                        </w:rPr>
                        <w:t>.</w:t>
                      </w:r>
                    </w:p>
                    <w:p w:rsidR="002E6C51" w:rsidRDefault="002E6C51" w:rsidP="00EA6374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  <w:p w:rsidR="002E6C51" w:rsidRPr="002E6C51" w:rsidRDefault="002E6C51" w:rsidP="002E6C5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E6C51">
                        <w:rPr>
                          <w:i/>
                        </w:rPr>
                        <w:t>Source: National Survey on Drug Use and Health, SAMHSA.</w:t>
                      </w:r>
                    </w:p>
                    <w:p w:rsidR="002E6C51" w:rsidRPr="00F713CD" w:rsidRDefault="002E6C51" w:rsidP="00EA6374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57DCC">
        <w:rPr>
          <w:rFonts w:asciiTheme="majorHAnsi" w:eastAsia="Times New Roman" w:hAnsiTheme="majorHAnsi" w:cs="Times New Roman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69E1FE" wp14:editId="060FB3A1">
                <wp:simplePos x="0" y="0"/>
                <wp:positionH relativeFrom="column">
                  <wp:posOffset>759331</wp:posOffset>
                </wp:positionH>
                <wp:positionV relativeFrom="paragraph">
                  <wp:posOffset>278808</wp:posOffset>
                </wp:positionV>
                <wp:extent cx="8477573" cy="294468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573" cy="294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74" w:rsidRPr="00EA6374" w:rsidRDefault="00EA6374" w:rsidP="00EA637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A6374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RI vs.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Region C</w:t>
                            </w:r>
                            <w:r w:rsidRPr="00EA6374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omparison Needing But No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 Receiving Treatment, 2005</w:t>
                            </w:r>
                            <w:r w:rsidRPr="00EA6374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9.8pt;margin-top:21.95pt;width:667.55pt;height:2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" stroked="f">
                <v:textbox>
                  <w:txbxContent>
                    <w:p w:rsidR="00EA6374" w:rsidRPr="00EA6374" w:rsidRDefault="00EA6374" w:rsidP="00EA6374">
                      <w:pPr>
                        <w:jc w:val="both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A6374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RI v</w:t>
                      </w:r>
                      <w:r w:rsidRPr="00EA6374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s.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Region C</w:t>
                      </w:r>
                      <w:r w:rsidRPr="00EA6374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omparison Needing But No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t Receiving Treatment, 2005</w:t>
                      </w:r>
                      <w:r w:rsidRPr="00EA6374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8"/>
                          <w:szCs w:val="28"/>
                        </w:rPr>
                        <w:t>-2013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6374" w:rsidSect="003654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A2" w:rsidRDefault="00F669A2" w:rsidP="00F713CD">
      <w:pPr>
        <w:spacing w:after="0" w:line="240" w:lineRule="auto"/>
      </w:pPr>
      <w:r>
        <w:separator/>
      </w:r>
    </w:p>
  </w:endnote>
  <w:endnote w:type="continuationSeparator" w:id="0">
    <w:p w:rsidR="00F669A2" w:rsidRDefault="00F669A2" w:rsidP="00F7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A2" w:rsidRDefault="00F669A2" w:rsidP="00F713CD">
      <w:pPr>
        <w:spacing w:after="0" w:line="240" w:lineRule="auto"/>
      </w:pPr>
      <w:r>
        <w:separator/>
      </w:r>
    </w:p>
  </w:footnote>
  <w:footnote w:type="continuationSeparator" w:id="0">
    <w:p w:rsidR="00F669A2" w:rsidRDefault="00F669A2" w:rsidP="00F7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BF"/>
    <w:rsid w:val="00023FC5"/>
    <w:rsid w:val="00026436"/>
    <w:rsid w:val="001555C5"/>
    <w:rsid w:val="001573F8"/>
    <w:rsid w:val="00162740"/>
    <w:rsid w:val="0018755F"/>
    <w:rsid w:val="001C6984"/>
    <w:rsid w:val="00242995"/>
    <w:rsid w:val="0026128E"/>
    <w:rsid w:val="002A7200"/>
    <w:rsid w:val="002E6C51"/>
    <w:rsid w:val="0030723E"/>
    <w:rsid w:val="00355BEF"/>
    <w:rsid w:val="003654E8"/>
    <w:rsid w:val="0045061B"/>
    <w:rsid w:val="00476B5A"/>
    <w:rsid w:val="004E04E1"/>
    <w:rsid w:val="00557DCC"/>
    <w:rsid w:val="00627EFF"/>
    <w:rsid w:val="00710E26"/>
    <w:rsid w:val="00757537"/>
    <w:rsid w:val="008029F0"/>
    <w:rsid w:val="00852235"/>
    <w:rsid w:val="008A2B13"/>
    <w:rsid w:val="008D1B06"/>
    <w:rsid w:val="009761D5"/>
    <w:rsid w:val="009A51BF"/>
    <w:rsid w:val="00B03D90"/>
    <w:rsid w:val="00BC4C35"/>
    <w:rsid w:val="00C44EC9"/>
    <w:rsid w:val="00CD6F3D"/>
    <w:rsid w:val="00CE7934"/>
    <w:rsid w:val="00EA6374"/>
    <w:rsid w:val="00F569F1"/>
    <w:rsid w:val="00F669A2"/>
    <w:rsid w:val="00F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9A51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CD"/>
  </w:style>
  <w:style w:type="paragraph" w:styleId="Footer">
    <w:name w:val="footer"/>
    <w:basedOn w:val="Normal"/>
    <w:link w:val="FooterChar"/>
    <w:uiPriority w:val="99"/>
    <w:unhideWhenUsed/>
    <w:rsid w:val="00F7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CD"/>
  </w:style>
  <w:style w:type="table" w:styleId="MediumShading1-Accent1">
    <w:name w:val="Medium Shading 1 Accent 1"/>
    <w:basedOn w:val="TableNormal"/>
    <w:uiPriority w:val="63"/>
    <w:rsid w:val="00710E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9A51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CD"/>
  </w:style>
  <w:style w:type="paragraph" w:styleId="Footer">
    <w:name w:val="footer"/>
    <w:basedOn w:val="Normal"/>
    <w:link w:val="FooterChar"/>
    <w:uiPriority w:val="99"/>
    <w:unhideWhenUsed/>
    <w:rsid w:val="00F7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CD"/>
  </w:style>
  <w:style w:type="table" w:styleId="MediumShading1-Accent1">
    <w:name w:val="Medium Shading 1 Accent 1"/>
    <w:basedOn w:val="TableNormal"/>
    <w:uiPriority w:val="63"/>
    <w:rsid w:val="00710E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antha%20Rosenthal\Documents\2013%20RI%20Epi%20Profi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antha%20Rosenthal\Documents\2013%20RI%20Epi%20Profil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antha%20Rosenthal\Documents\2013%20RI%20Epi%20Profil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antha%20Rosenthal\Documents\2013%20RI%20Epi%20Profi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RI vs. US Percent DSM-IV Alcohol Abuse or Dependence by Age Group</a:t>
            </a:r>
            <a:endParaRPr lang="en-US" sz="14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Sheet1!$A$11</c:f>
              <c:strCache>
                <c:ptCount val="1"/>
                <c:pt idx="0">
                  <c:v>RI 12+</c:v>
                </c:pt>
              </c:strCache>
            </c:strRef>
          </c:tx>
          <c:marker>
            <c:symbol val="none"/>
          </c:marker>
          <c:cat>
            <c:strRef>
              <c:f>Sheet1!$B$10:$F$10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Sheet1!$B$11:$F$11</c:f>
              <c:numCache>
                <c:formatCode>General</c:formatCode>
                <c:ptCount val="5"/>
                <c:pt idx="0">
                  <c:v>9.59</c:v>
                </c:pt>
                <c:pt idx="1">
                  <c:v>8.26</c:v>
                </c:pt>
                <c:pt idx="2">
                  <c:v>7.78</c:v>
                </c:pt>
                <c:pt idx="3">
                  <c:v>3.87</c:v>
                </c:pt>
                <c:pt idx="4">
                  <c:v>3.97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Sheet1!$A$12</c:f>
              <c:strCache>
                <c:ptCount val="1"/>
                <c:pt idx="0">
                  <c:v>US 12+</c:v>
                </c:pt>
              </c:strCache>
            </c:strRef>
          </c:tx>
          <c:spPr>
            <a:ln>
              <a:solidFill>
                <a:schemeClr val="accent1"/>
              </a:solidFill>
              <a:prstDash val="sysDash"/>
            </a:ln>
          </c:spPr>
          <c:marker>
            <c:symbol val="none"/>
          </c:marker>
          <c:cat>
            <c:strRef>
              <c:f>Sheet1!$B$10:$F$10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Sheet1!$B$12:$F$12</c:f>
              <c:numCache>
                <c:formatCode>General</c:formatCode>
                <c:ptCount val="5"/>
                <c:pt idx="0">
                  <c:v>7.62</c:v>
                </c:pt>
                <c:pt idx="1">
                  <c:v>7.71</c:v>
                </c:pt>
                <c:pt idx="2">
                  <c:v>7.47</c:v>
                </c:pt>
                <c:pt idx="3">
                  <c:v>3.16</c:v>
                </c:pt>
                <c:pt idx="4">
                  <c:v>3.09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Sheet1!$A$13</c:f>
              <c:strCache>
                <c:ptCount val="1"/>
                <c:pt idx="0">
                  <c:v>RI 12-17</c:v>
                </c:pt>
              </c:strCache>
            </c:strRef>
          </c:tx>
          <c:marker>
            <c:symbol val="none"/>
          </c:marker>
          <c:cat>
            <c:strRef>
              <c:f>Sheet1!$B$10:$F$10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Sheet1!$B$13:$F$13</c:f>
              <c:numCache>
                <c:formatCode>General</c:formatCode>
                <c:ptCount val="5"/>
                <c:pt idx="0">
                  <c:v>6.89</c:v>
                </c:pt>
                <c:pt idx="1">
                  <c:v>5.89</c:v>
                </c:pt>
                <c:pt idx="2">
                  <c:v>5.33</c:v>
                </c:pt>
                <c:pt idx="3">
                  <c:v>1.4</c:v>
                </c:pt>
                <c:pt idx="4">
                  <c:v>1.24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Sheet1!$A$14</c:f>
              <c:strCache>
                <c:ptCount val="1"/>
                <c:pt idx="0">
                  <c:v>US 12-17</c:v>
                </c:pt>
              </c:strCache>
            </c:strRef>
          </c:tx>
          <c:spPr>
            <a:ln>
              <a:solidFill>
                <a:srgbClr val="92D050"/>
              </a:solidFill>
              <a:prstDash val="sysDash"/>
            </a:ln>
          </c:spPr>
          <c:marker>
            <c:symbol val="none"/>
          </c:marker>
          <c:cat>
            <c:strRef>
              <c:f>Sheet1!$B$10:$F$10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Sheet1!$B$14:$F$14</c:f>
              <c:numCache>
                <c:formatCode>General</c:formatCode>
                <c:ptCount val="5"/>
                <c:pt idx="0">
                  <c:v>5.95</c:v>
                </c:pt>
                <c:pt idx="1">
                  <c:v>5.78</c:v>
                </c:pt>
                <c:pt idx="2">
                  <c:v>5.16</c:v>
                </c:pt>
                <c:pt idx="3">
                  <c:v>1.34</c:v>
                </c:pt>
                <c:pt idx="4">
                  <c:v>1.1499999999999999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Sheet1!$A$15</c:f>
              <c:strCache>
                <c:ptCount val="1"/>
                <c:pt idx="0">
                  <c:v>RI 18-25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Sheet1!$B$10:$F$10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Sheet1!$B$15:$F$15</c:f>
              <c:numCache>
                <c:formatCode>General</c:formatCode>
                <c:ptCount val="5"/>
                <c:pt idx="0">
                  <c:v>21.83</c:v>
                </c:pt>
                <c:pt idx="1">
                  <c:v>19.989999999999998</c:v>
                </c:pt>
                <c:pt idx="2">
                  <c:v>17.93</c:v>
                </c:pt>
                <c:pt idx="3">
                  <c:v>8.77</c:v>
                </c:pt>
                <c:pt idx="4">
                  <c:v>8.2899999999999991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Sheet1!$A$16</c:f>
              <c:strCache>
                <c:ptCount val="1"/>
                <c:pt idx="0">
                  <c:v>US 18-25</c:v>
                </c:pt>
              </c:strCache>
            </c:strRef>
          </c:tx>
          <c:spPr>
            <a:ln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Sheet1!$B$10:$F$10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Sheet1!$B$16:$F$16</c:f>
              <c:numCache>
                <c:formatCode>General</c:formatCode>
                <c:ptCount val="5"/>
                <c:pt idx="0">
                  <c:v>17.32</c:v>
                </c:pt>
                <c:pt idx="1">
                  <c:v>17.47</c:v>
                </c:pt>
                <c:pt idx="2">
                  <c:v>17.13</c:v>
                </c:pt>
                <c:pt idx="3">
                  <c:v>6.01</c:v>
                </c:pt>
                <c:pt idx="4">
                  <c:v>5.77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Sheet1!$A$17</c:f>
              <c:strCache>
                <c:ptCount val="1"/>
                <c:pt idx="0">
                  <c:v>RI 26+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Sheet1!$B$10:$F$10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Sheet1!$B$17:$F$17</c:f>
              <c:numCache>
                <c:formatCode>General</c:formatCode>
                <c:ptCount val="5"/>
                <c:pt idx="0">
                  <c:v>7.68</c:v>
                </c:pt>
                <c:pt idx="1">
                  <c:v>6.44</c:v>
                </c:pt>
                <c:pt idx="2">
                  <c:v>6.2</c:v>
                </c:pt>
                <c:pt idx="3">
                  <c:v>3.2</c:v>
                </c:pt>
                <c:pt idx="4">
                  <c:v>3.45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Sheet1!$A$18</c:f>
              <c:strCache>
                <c:ptCount val="1"/>
                <c:pt idx="0">
                  <c:v>US 26+</c:v>
                </c:pt>
              </c:strCache>
            </c:strRef>
          </c:tx>
          <c:spPr>
            <a:ln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strRef>
              <c:f>Sheet1!$B$10:$F$10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Sheet1!$B$18:$F$18</c:f>
              <c:numCache>
                <c:formatCode>General</c:formatCode>
                <c:ptCount val="5"/>
                <c:pt idx="0">
                  <c:v>6.15</c:v>
                </c:pt>
                <c:pt idx="1">
                  <c:v>6.27</c:v>
                </c:pt>
                <c:pt idx="2">
                  <c:v>6.11</c:v>
                </c:pt>
                <c:pt idx="3">
                  <c:v>2.9</c:v>
                </c:pt>
                <c:pt idx="4">
                  <c:v>2.99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062336"/>
        <c:axId val="80063872"/>
      </c:lineChart>
      <c:catAx>
        <c:axId val="80062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80063872"/>
        <c:crosses val="autoZero"/>
        <c:auto val="1"/>
        <c:lblAlgn val="ctr"/>
        <c:lblOffset val="100"/>
        <c:noMultiLvlLbl val="0"/>
      </c:catAx>
      <c:valAx>
        <c:axId val="800638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effectLst/>
                  </a:rPr>
                  <a:t>DSM-IV Alcohol Abuse/Dependence (%)</a:t>
                </a:r>
                <a:endParaRPr lang="en-US" sz="1000">
                  <a:effectLst/>
                </a:endParaRP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8006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119781143861871"/>
          <c:y val="0.13908975171207047"/>
          <c:w val="0.15684672749239678"/>
          <c:h val="0.43540498746911716"/>
        </c:manualLayout>
      </c:layout>
      <c:overlay val="1"/>
      <c:spPr>
        <a:solidFill>
          <a:schemeClr val="bg1"/>
        </a:solidFill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RI vs. US Percent DSM-IV Drug Abuse or Dependence by Age Group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Sheet1!$A$40</c:f>
              <c:strCache>
                <c:ptCount val="1"/>
                <c:pt idx="0">
                  <c:v>RI 12+</c:v>
                </c:pt>
              </c:strCache>
            </c:strRef>
          </c:tx>
          <c:marker>
            <c:symbol val="none"/>
          </c:marker>
          <c:cat>
            <c:strRef>
              <c:f>Sheet1!$B$39:$F$39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Sheet1!$B$40:$F$40</c:f>
              <c:numCache>
                <c:formatCode>General</c:formatCode>
                <c:ptCount val="5"/>
                <c:pt idx="0">
                  <c:v>3.49</c:v>
                </c:pt>
                <c:pt idx="1">
                  <c:v>3.58</c:v>
                </c:pt>
                <c:pt idx="2">
                  <c:v>4.4000000000000004</c:v>
                </c:pt>
                <c:pt idx="3">
                  <c:v>3.07</c:v>
                </c:pt>
                <c:pt idx="4">
                  <c:v>3.72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Sheet1!$A$41</c:f>
              <c:strCache>
                <c:ptCount val="1"/>
                <c:pt idx="0">
                  <c:v>US 12+</c:v>
                </c:pt>
              </c:strCache>
            </c:strRef>
          </c:tx>
          <c:spPr>
            <a:ln>
              <a:solidFill>
                <a:srgbClr val="0070C0"/>
              </a:solidFill>
              <a:prstDash val="sysDash"/>
            </a:ln>
          </c:spPr>
          <c:marker>
            <c:symbol val="none"/>
          </c:marker>
          <c:cat>
            <c:strRef>
              <c:f>Sheet1!$B$39:$F$39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Sheet1!$B$41:$F$41</c:f>
              <c:numCache>
                <c:formatCode>General</c:formatCode>
                <c:ptCount val="5"/>
                <c:pt idx="0">
                  <c:v>2.96</c:v>
                </c:pt>
                <c:pt idx="1">
                  <c:v>2.92</c:v>
                </c:pt>
                <c:pt idx="2">
                  <c:v>2.79</c:v>
                </c:pt>
                <c:pt idx="3">
                  <c:v>2.67</c:v>
                </c:pt>
                <c:pt idx="4">
                  <c:v>2.71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Sheet1!$A$42</c:f>
              <c:strCache>
                <c:ptCount val="1"/>
                <c:pt idx="0">
                  <c:v>RI 12-17</c:v>
                </c:pt>
              </c:strCache>
            </c:strRef>
          </c:tx>
          <c:marker>
            <c:symbol val="none"/>
          </c:marker>
          <c:cat>
            <c:strRef>
              <c:f>Sheet1!$B$39:$F$39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Sheet1!$B$42:$F$42</c:f>
              <c:numCache>
                <c:formatCode>General</c:formatCode>
                <c:ptCount val="5"/>
                <c:pt idx="0">
                  <c:v>6.05</c:v>
                </c:pt>
                <c:pt idx="1">
                  <c:v>6.32</c:v>
                </c:pt>
                <c:pt idx="2">
                  <c:v>4.93</c:v>
                </c:pt>
                <c:pt idx="3">
                  <c:v>4.8899999999999997</c:v>
                </c:pt>
                <c:pt idx="4">
                  <c:v>4.97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Sheet1!$A$43</c:f>
              <c:strCache>
                <c:ptCount val="1"/>
                <c:pt idx="0">
                  <c:v>US 12-17</c:v>
                </c:pt>
              </c:strCache>
            </c:strRef>
          </c:tx>
          <c:spPr>
            <a:ln>
              <a:solidFill>
                <a:srgbClr val="92D050"/>
              </a:solidFill>
              <a:prstDash val="sysDash"/>
            </a:ln>
          </c:spPr>
          <c:marker>
            <c:symbol val="none"/>
          </c:marker>
          <c:cat>
            <c:strRef>
              <c:f>Sheet1!$B$39:$F$39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Sheet1!$B$43:$F$43</c:f>
              <c:numCache>
                <c:formatCode>General</c:formatCode>
                <c:ptCount val="5"/>
                <c:pt idx="0">
                  <c:v>5.25</c:v>
                </c:pt>
                <c:pt idx="1">
                  <c:v>5.01</c:v>
                </c:pt>
                <c:pt idx="2">
                  <c:v>4.4800000000000004</c:v>
                </c:pt>
                <c:pt idx="3">
                  <c:v>4.3099999999999996</c:v>
                </c:pt>
                <c:pt idx="4">
                  <c:v>3.76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Sheet1!$A$44</c:f>
              <c:strCache>
                <c:ptCount val="1"/>
                <c:pt idx="0">
                  <c:v>RI 18-25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Sheet1!$B$39:$F$39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Sheet1!$B$44:$F$44</c:f>
              <c:numCache>
                <c:formatCode>General</c:formatCode>
                <c:ptCount val="5"/>
                <c:pt idx="0">
                  <c:v>10.32</c:v>
                </c:pt>
                <c:pt idx="1">
                  <c:v>12.3</c:v>
                </c:pt>
                <c:pt idx="2">
                  <c:v>12.54</c:v>
                </c:pt>
                <c:pt idx="3">
                  <c:v>8.11</c:v>
                </c:pt>
                <c:pt idx="4">
                  <c:v>8.99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Sheet1!$A$45</c:f>
              <c:strCache>
                <c:ptCount val="1"/>
                <c:pt idx="0">
                  <c:v>US 18-25</c:v>
                </c:pt>
              </c:strCache>
            </c:strRef>
          </c:tx>
          <c:spPr>
            <a:ln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Sheet1!$B$39:$F$39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Sheet1!$B$45:$F$45</c:f>
              <c:numCache>
                <c:formatCode>General</c:formatCode>
                <c:ptCount val="5"/>
                <c:pt idx="0">
                  <c:v>8.09</c:v>
                </c:pt>
                <c:pt idx="1">
                  <c:v>8.3699999999999992</c:v>
                </c:pt>
                <c:pt idx="2">
                  <c:v>7.9</c:v>
                </c:pt>
                <c:pt idx="3">
                  <c:v>7.66</c:v>
                </c:pt>
                <c:pt idx="4">
                  <c:v>7.59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Sheet1!$A$46</c:f>
              <c:strCache>
                <c:ptCount val="1"/>
                <c:pt idx="0">
                  <c:v>RI 26+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Sheet1!$B$39:$F$39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Sheet1!$B$46:$F$46</c:f>
              <c:numCache>
                <c:formatCode>General</c:formatCode>
                <c:ptCount val="5"/>
                <c:pt idx="0">
                  <c:v>1.92</c:v>
                </c:pt>
                <c:pt idx="1">
                  <c:v>1.66</c:v>
                </c:pt>
                <c:pt idx="2">
                  <c:v>2.83</c:v>
                </c:pt>
                <c:pt idx="3">
                  <c:v>1.89</c:v>
                </c:pt>
                <c:pt idx="4">
                  <c:v>2.57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Sheet1!$A$47</c:f>
              <c:strCache>
                <c:ptCount val="1"/>
                <c:pt idx="0">
                  <c:v>US 26+</c:v>
                </c:pt>
              </c:strCache>
            </c:strRef>
          </c:tx>
          <c:spPr>
            <a:ln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strRef>
              <c:f>Sheet1!$B$39:$F$39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Sheet1!$B$47:$F$47</c:f>
              <c:numCache>
                <c:formatCode>General</c:formatCode>
                <c:ptCount val="5"/>
                <c:pt idx="0">
                  <c:v>1.74</c:v>
                </c:pt>
                <c:pt idx="1">
                  <c:v>1.68</c:v>
                </c:pt>
                <c:pt idx="2">
                  <c:v>1.69</c:v>
                </c:pt>
                <c:pt idx="3">
                  <c:v>1.61</c:v>
                </c:pt>
                <c:pt idx="4">
                  <c:v>1.74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023616"/>
        <c:axId val="87025152"/>
      </c:lineChart>
      <c:catAx>
        <c:axId val="87023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87025152"/>
        <c:crosses val="autoZero"/>
        <c:auto val="1"/>
        <c:lblAlgn val="ctr"/>
        <c:lblOffset val="100"/>
        <c:noMultiLvlLbl val="0"/>
      </c:catAx>
      <c:valAx>
        <c:axId val="87025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effectLst/>
                  </a:rPr>
                  <a:t>DSM-IV Drug Abuse/Dependence (%)</a:t>
                </a:r>
                <a:endParaRPr lang="en-US" sz="1000">
                  <a:effectLst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702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RI vs. US Percent Needing But Not Receiving Treatment for Drug Use by Age Group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Sheet1!$A$63</c:f>
              <c:strCache>
                <c:ptCount val="1"/>
                <c:pt idx="0">
                  <c:v>RI 12+</c:v>
                </c:pt>
              </c:strCache>
            </c:strRef>
          </c:tx>
          <c:marker>
            <c:symbol val="none"/>
          </c:marker>
          <c:cat>
            <c:strRef>
              <c:f>Sheet1!$B$62:$F$62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Sheet1!$B$63:$F$63</c:f>
              <c:numCache>
                <c:formatCode>General</c:formatCode>
                <c:ptCount val="5"/>
                <c:pt idx="0">
                  <c:v>3.06</c:v>
                </c:pt>
                <c:pt idx="1">
                  <c:v>3.25</c:v>
                </c:pt>
                <c:pt idx="2">
                  <c:v>3.94</c:v>
                </c:pt>
                <c:pt idx="3">
                  <c:v>2.56</c:v>
                </c:pt>
                <c:pt idx="4">
                  <c:v>2.99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Sheet1!$A$64</c:f>
              <c:strCache>
                <c:ptCount val="1"/>
                <c:pt idx="0">
                  <c:v>US 12+</c:v>
                </c:pt>
              </c:strCache>
            </c:strRef>
          </c:tx>
          <c:spPr>
            <a:ln>
              <a:solidFill>
                <a:srgbClr val="0070C0"/>
              </a:solidFill>
              <a:prstDash val="sysDash"/>
            </a:ln>
          </c:spPr>
          <c:marker>
            <c:symbol val="none"/>
          </c:marker>
          <c:cat>
            <c:strRef>
              <c:f>Sheet1!$B$62:$F$62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Sheet1!$B$64:$F$64</c:f>
              <c:numCache>
                <c:formatCode>General</c:formatCode>
                <c:ptCount val="5"/>
                <c:pt idx="0">
                  <c:v>2.69</c:v>
                </c:pt>
                <c:pt idx="1">
                  <c:v>2.67</c:v>
                </c:pt>
                <c:pt idx="2">
                  <c:v>2.52</c:v>
                </c:pt>
                <c:pt idx="3">
                  <c:v>2.38</c:v>
                </c:pt>
                <c:pt idx="4">
                  <c:v>2.42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Sheet1!$A$65</c:f>
              <c:strCache>
                <c:ptCount val="1"/>
                <c:pt idx="0">
                  <c:v>RI 12-17</c:v>
                </c:pt>
              </c:strCache>
            </c:strRef>
          </c:tx>
          <c:marker>
            <c:symbol val="none"/>
          </c:marker>
          <c:cat>
            <c:strRef>
              <c:f>Sheet1!$B$62:$F$62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Sheet1!$B$65:$F$65</c:f>
              <c:numCache>
                <c:formatCode>General</c:formatCode>
                <c:ptCount val="5"/>
                <c:pt idx="0">
                  <c:v>5.82</c:v>
                </c:pt>
                <c:pt idx="1">
                  <c:v>6.02</c:v>
                </c:pt>
                <c:pt idx="2">
                  <c:v>4.91</c:v>
                </c:pt>
                <c:pt idx="3">
                  <c:v>4.05</c:v>
                </c:pt>
                <c:pt idx="4">
                  <c:v>4.28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Sheet1!$A$66</c:f>
              <c:strCache>
                <c:ptCount val="1"/>
                <c:pt idx="0">
                  <c:v>US 12-17</c:v>
                </c:pt>
              </c:strCache>
            </c:strRef>
          </c:tx>
          <c:spPr>
            <a:ln>
              <a:solidFill>
                <a:srgbClr val="92D050"/>
              </a:solidFill>
              <a:prstDash val="sysDash"/>
            </a:ln>
          </c:spPr>
          <c:marker>
            <c:symbol val="none"/>
          </c:marker>
          <c:cat>
            <c:strRef>
              <c:f>Sheet1!$B$62:$F$62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Sheet1!$B$66:$F$66</c:f>
              <c:numCache>
                <c:formatCode>General</c:formatCode>
                <c:ptCount val="5"/>
                <c:pt idx="0">
                  <c:v>4.93</c:v>
                </c:pt>
                <c:pt idx="1">
                  <c:v>4.6900000000000004</c:v>
                </c:pt>
                <c:pt idx="2">
                  <c:v>4.1900000000000004</c:v>
                </c:pt>
                <c:pt idx="3">
                  <c:v>3.97</c:v>
                </c:pt>
                <c:pt idx="4">
                  <c:v>3.49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Sheet1!$A$67</c:f>
              <c:strCache>
                <c:ptCount val="1"/>
                <c:pt idx="0">
                  <c:v>RI 18-25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Sheet1!$B$62:$F$62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Sheet1!$B$67:$F$67</c:f>
              <c:numCache>
                <c:formatCode>General</c:formatCode>
                <c:ptCount val="5"/>
                <c:pt idx="0">
                  <c:v>9.73</c:v>
                </c:pt>
                <c:pt idx="1">
                  <c:v>11.42</c:v>
                </c:pt>
                <c:pt idx="2">
                  <c:v>12</c:v>
                </c:pt>
                <c:pt idx="3">
                  <c:v>7.06</c:v>
                </c:pt>
                <c:pt idx="4">
                  <c:v>8.0500000000000007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Sheet1!$A$68</c:f>
              <c:strCache>
                <c:ptCount val="1"/>
                <c:pt idx="0">
                  <c:v>US 18-25</c:v>
                </c:pt>
              </c:strCache>
            </c:strRef>
          </c:tx>
          <c:spPr>
            <a:ln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Sheet1!$B$62:$F$62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Sheet1!$B$68:$F$68</c:f>
              <c:numCache>
                <c:formatCode>General</c:formatCode>
                <c:ptCount val="5"/>
                <c:pt idx="0">
                  <c:v>7.49</c:v>
                </c:pt>
                <c:pt idx="1">
                  <c:v>7.74</c:v>
                </c:pt>
                <c:pt idx="2">
                  <c:v>7.37</c:v>
                </c:pt>
                <c:pt idx="3">
                  <c:v>7.03</c:v>
                </c:pt>
                <c:pt idx="4">
                  <c:v>6.94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Sheet1!$A$69</c:f>
              <c:strCache>
                <c:ptCount val="1"/>
                <c:pt idx="0">
                  <c:v>RI 26+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Sheet1!$B$62:$F$62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Sheet1!$B$69:$F$69</c:f>
              <c:numCache>
                <c:formatCode>General</c:formatCode>
                <c:ptCount val="5"/>
                <c:pt idx="0">
                  <c:v>1.48</c:v>
                </c:pt>
                <c:pt idx="1">
                  <c:v>1.42</c:v>
                </c:pt>
                <c:pt idx="2">
                  <c:v>2.33</c:v>
                </c:pt>
                <c:pt idx="3">
                  <c:v>1.52</c:v>
                </c:pt>
                <c:pt idx="4">
                  <c:v>1.88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Sheet1!$A$70</c:f>
              <c:strCache>
                <c:ptCount val="1"/>
                <c:pt idx="0">
                  <c:v>US 26+</c:v>
                </c:pt>
              </c:strCache>
            </c:strRef>
          </c:tx>
          <c:spPr>
            <a:ln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strRef>
              <c:f>Sheet1!$B$62:$F$62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Sheet1!$B$70:$F$70</c:f>
              <c:numCache>
                <c:formatCode>General</c:formatCode>
                <c:ptCount val="5"/>
                <c:pt idx="0">
                  <c:v>1.54</c:v>
                </c:pt>
                <c:pt idx="1">
                  <c:v>1.5</c:v>
                </c:pt>
                <c:pt idx="2">
                  <c:v>1.47</c:v>
                </c:pt>
                <c:pt idx="3">
                  <c:v>1.38</c:v>
                </c:pt>
                <c:pt idx="4">
                  <c:v>1.51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089152"/>
        <c:axId val="87090688"/>
      </c:lineChart>
      <c:catAx>
        <c:axId val="87089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87090688"/>
        <c:crosses val="autoZero"/>
        <c:auto val="1"/>
        <c:lblAlgn val="ctr"/>
        <c:lblOffset val="100"/>
        <c:noMultiLvlLbl val="0"/>
      </c:catAx>
      <c:valAx>
        <c:axId val="870906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effectLst/>
                  </a:rPr>
                  <a:t>Needing But Not Receiving Treatment for Drug Use (%)</a:t>
                </a:r>
                <a:endParaRPr lang="en-US" sz="1000">
                  <a:effectLst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7089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RI vs. US Percent Needing But Not Receiving Treatment for Alcohol Use by Age Group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Sheet1!$A$83</c:f>
              <c:strCache>
                <c:ptCount val="1"/>
                <c:pt idx="0">
                  <c:v>RI 12+</c:v>
                </c:pt>
              </c:strCache>
            </c:strRef>
          </c:tx>
          <c:marker>
            <c:symbol val="none"/>
          </c:marker>
          <c:cat>
            <c:strRef>
              <c:f>Sheet1!$B$82:$F$82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Sheet1!$B$83:$F$83</c:f>
              <c:numCache>
                <c:formatCode>General</c:formatCode>
                <c:ptCount val="5"/>
                <c:pt idx="0">
                  <c:v>8.91</c:v>
                </c:pt>
                <c:pt idx="1">
                  <c:v>7.78</c:v>
                </c:pt>
                <c:pt idx="2">
                  <c:v>7.57</c:v>
                </c:pt>
                <c:pt idx="3">
                  <c:v>8.3000000000000007</c:v>
                </c:pt>
                <c:pt idx="4" formatCode="0.00">
                  <c:v>7.91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Sheet1!$A$84</c:f>
              <c:strCache>
                <c:ptCount val="1"/>
                <c:pt idx="0">
                  <c:v>US 12+</c:v>
                </c:pt>
              </c:strCache>
            </c:strRef>
          </c:tx>
          <c:spPr>
            <a:ln>
              <a:solidFill>
                <a:srgbClr val="0070C0"/>
              </a:solidFill>
              <a:prstDash val="sysDash"/>
            </a:ln>
          </c:spPr>
          <c:marker>
            <c:symbol val="none"/>
          </c:marker>
          <c:cat>
            <c:strRef>
              <c:f>Sheet1!$B$82:$F$82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Sheet1!$B$84:$F$84</c:f>
              <c:numCache>
                <c:formatCode>General</c:formatCode>
                <c:ptCount val="5"/>
                <c:pt idx="0">
                  <c:v>7.27</c:v>
                </c:pt>
                <c:pt idx="1">
                  <c:v>7.35</c:v>
                </c:pt>
                <c:pt idx="2">
                  <c:v>7.1</c:v>
                </c:pt>
                <c:pt idx="3">
                  <c:v>6.32</c:v>
                </c:pt>
                <c:pt idx="4" formatCode="0.00">
                  <c:v>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Sheet1!$A$85</c:f>
              <c:strCache>
                <c:ptCount val="1"/>
                <c:pt idx="0">
                  <c:v>RI 12-17</c:v>
                </c:pt>
              </c:strCache>
            </c:strRef>
          </c:tx>
          <c:marker>
            <c:symbol val="none"/>
          </c:marker>
          <c:cat>
            <c:strRef>
              <c:f>Sheet1!$B$82:$F$82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Sheet1!$B$85:$F$85</c:f>
              <c:numCache>
                <c:formatCode>General</c:formatCode>
                <c:ptCount val="5"/>
                <c:pt idx="0">
                  <c:v>6.79</c:v>
                </c:pt>
                <c:pt idx="1">
                  <c:v>5.76</c:v>
                </c:pt>
                <c:pt idx="2">
                  <c:v>5.27</c:v>
                </c:pt>
                <c:pt idx="3">
                  <c:v>3.72</c:v>
                </c:pt>
                <c:pt idx="4" formatCode="0.00">
                  <c:v>3.1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Sheet1!$A$86</c:f>
              <c:strCache>
                <c:ptCount val="1"/>
                <c:pt idx="0">
                  <c:v>US 12-17</c:v>
                </c:pt>
              </c:strCache>
            </c:strRef>
          </c:tx>
          <c:spPr>
            <a:ln>
              <a:solidFill>
                <a:srgbClr val="92D050"/>
              </a:solidFill>
              <a:prstDash val="sysDash"/>
            </a:ln>
          </c:spPr>
          <c:marker>
            <c:symbol val="none"/>
          </c:marker>
          <c:cat>
            <c:strRef>
              <c:f>Sheet1!$B$82:$F$82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Sheet1!$B$86:$F$86</c:f>
              <c:numCache>
                <c:formatCode>General</c:formatCode>
                <c:ptCount val="5"/>
                <c:pt idx="0">
                  <c:v>5.68</c:v>
                </c:pt>
                <c:pt idx="1">
                  <c:v>5.51</c:v>
                </c:pt>
                <c:pt idx="2">
                  <c:v>4.9800000000000004</c:v>
                </c:pt>
                <c:pt idx="3">
                  <c:v>3.46</c:v>
                </c:pt>
                <c:pt idx="4" formatCode="0.00">
                  <c:v>2.96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Sheet1!$A$87</c:f>
              <c:strCache>
                <c:ptCount val="1"/>
                <c:pt idx="0">
                  <c:v>RI 18-25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Sheet1!$B$82:$F$82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Sheet1!$B$87:$F$87</c:f>
              <c:numCache>
                <c:formatCode>General</c:formatCode>
                <c:ptCount val="5"/>
                <c:pt idx="0">
                  <c:v>21.06</c:v>
                </c:pt>
                <c:pt idx="1">
                  <c:v>19.13</c:v>
                </c:pt>
                <c:pt idx="2">
                  <c:v>17.88</c:v>
                </c:pt>
                <c:pt idx="3">
                  <c:v>18.75</c:v>
                </c:pt>
                <c:pt idx="4" formatCode="0.00">
                  <c:v>17.03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Sheet1!$A$88</c:f>
              <c:strCache>
                <c:ptCount val="1"/>
                <c:pt idx="0">
                  <c:v>US 18-25</c:v>
                </c:pt>
              </c:strCache>
            </c:strRef>
          </c:tx>
          <c:spPr>
            <a:ln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Sheet1!$B$82:$F$82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Sheet1!$B$88:$F$88</c:f>
              <c:numCache>
                <c:formatCode>General</c:formatCode>
                <c:ptCount val="5"/>
                <c:pt idx="0">
                  <c:v>16.75</c:v>
                </c:pt>
                <c:pt idx="1">
                  <c:v>16.920000000000002</c:v>
                </c:pt>
                <c:pt idx="2">
                  <c:v>16.52</c:v>
                </c:pt>
                <c:pt idx="3">
                  <c:v>13.94</c:v>
                </c:pt>
                <c:pt idx="4" formatCode="0.00">
                  <c:v>13.34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Sheet1!$A$89</c:f>
              <c:strCache>
                <c:ptCount val="1"/>
                <c:pt idx="0">
                  <c:v>RI 26+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Sheet1!$B$82:$F$82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Sheet1!$B$89:$F$89</c:f>
              <c:numCache>
                <c:formatCode>General</c:formatCode>
                <c:ptCount val="5"/>
                <c:pt idx="0">
                  <c:v>6.95</c:v>
                </c:pt>
                <c:pt idx="1">
                  <c:v>5.99</c:v>
                </c:pt>
                <c:pt idx="2">
                  <c:v>5.93</c:v>
                </c:pt>
                <c:pt idx="3">
                  <c:v>6.8</c:v>
                </c:pt>
                <c:pt idx="4" formatCode="0.00">
                  <c:v>6.69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Sheet1!$A$90</c:f>
              <c:strCache>
                <c:ptCount val="1"/>
                <c:pt idx="0">
                  <c:v>US 26+</c:v>
                </c:pt>
              </c:strCache>
            </c:strRef>
          </c:tx>
          <c:spPr>
            <a:ln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strRef>
              <c:f>Sheet1!$B$82:$F$82</c:f>
              <c:strCache>
                <c:ptCount val="5"/>
                <c:pt idx="0">
                  <c:v>2003-04</c:v>
                </c:pt>
                <c:pt idx="1">
                  <c:v>2004-05</c:v>
                </c:pt>
                <c:pt idx="2">
                  <c:v>2007-08</c:v>
                </c:pt>
                <c:pt idx="3">
                  <c:v>2011-12</c:v>
                </c:pt>
                <c:pt idx="4">
                  <c:v>2012-13</c:v>
                </c:pt>
              </c:strCache>
            </c:strRef>
          </c:cat>
          <c:val>
            <c:numRef>
              <c:f>Sheet1!$B$90:$F$90</c:f>
              <c:numCache>
                <c:formatCode>General</c:formatCode>
                <c:ptCount val="5"/>
                <c:pt idx="0">
                  <c:v>5.82</c:v>
                </c:pt>
                <c:pt idx="1">
                  <c:v>5.93</c:v>
                </c:pt>
                <c:pt idx="2">
                  <c:v>5.75</c:v>
                </c:pt>
                <c:pt idx="3">
                  <c:v>5.36</c:v>
                </c:pt>
                <c:pt idx="4" formatCode="0.00">
                  <c:v>5.63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490944"/>
        <c:axId val="87492480"/>
      </c:lineChart>
      <c:catAx>
        <c:axId val="87490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87492480"/>
        <c:crosses val="autoZero"/>
        <c:auto val="1"/>
        <c:lblAlgn val="ctr"/>
        <c:lblOffset val="100"/>
        <c:noMultiLvlLbl val="0"/>
      </c:catAx>
      <c:valAx>
        <c:axId val="87492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effectLst/>
                  </a:rPr>
                  <a:t>Needing But Not Receiving Treatment for Alcohol Use (%)</a:t>
                </a:r>
                <a:endParaRPr lang="en-US" sz="1000">
                  <a:effectLst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749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Rosenthal</dc:creator>
  <cp:lastModifiedBy>Barovier, Linda</cp:lastModifiedBy>
  <cp:revision>3</cp:revision>
  <dcterms:created xsi:type="dcterms:W3CDTF">2015-03-25T12:43:00Z</dcterms:created>
  <dcterms:modified xsi:type="dcterms:W3CDTF">2015-03-30T12:56:00Z</dcterms:modified>
</cp:coreProperties>
</file>